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4110"/>
        <w:rPr/>
      </w:pPr>
    </w:p>
    <w:p>
      <w:pPr>
        <w:pStyle w:val="style4110"/>
        <w:rPr/>
      </w:pPr>
    </w:p>
    <w:p>
      <w:pPr>
        <w:pStyle w:val="style4110"/>
        <w:rPr/>
      </w:pPr>
      <w:r>
        <w:t>AFE-BABALOLA</w:t>
      </w:r>
      <w:r>
        <w:t xml:space="preserve"> UNIVERSITY</w:t>
      </w:r>
    </w:p>
    <w:p>
      <w:pPr>
        <w:pStyle w:val="style4110"/>
        <w:rPr/>
      </w:pPr>
    </w:p>
    <w:p>
      <w:pPr>
        <w:pStyle w:val="style4110"/>
        <w:rPr/>
      </w:pPr>
    </w:p>
    <w:p>
      <w:pPr>
        <w:pStyle w:val="style4110"/>
        <w:rPr/>
      </w:pPr>
    </w:p>
    <w:p>
      <w:pPr>
        <w:pStyle w:val="style4110"/>
        <w:jc w:val="both"/>
        <w:rPr/>
      </w:pPr>
      <w:r>
        <w:t xml:space="preserve">    </w:t>
      </w:r>
      <w:r>
        <w:tab/>
      </w:r>
      <w:r>
        <w:tab/>
      </w:r>
      <w:r>
        <w:tab/>
      </w:r>
      <w:r>
        <w:t>ATUZIE HAPPY RUHUOMA</w:t>
      </w:r>
    </w:p>
    <w:p>
      <w:pPr>
        <w:pStyle w:val="style4110"/>
        <w:rPr/>
      </w:pPr>
    </w:p>
    <w:p>
      <w:pPr>
        <w:pStyle w:val="style4110"/>
        <w:rPr/>
      </w:pPr>
      <w:r>
        <w:t>14/ENG07/</w:t>
      </w:r>
      <w:r>
        <w:t>004</w:t>
      </w:r>
    </w:p>
    <w:p>
      <w:pPr>
        <w:pStyle w:val="style4110"/>
        <w:rPr/>
      </w:pPr>
    </w:p>
    <w:p>
      <w:pPr>
        <w:pStyle w:val="style4110"/>
        <w:rPr/>
      </w:pPr>
      <w:r>
        <w:t>PETROLEUM ENGINEERING</w:t>
      </w:r>
    </w:p>
    <w:p>
      <w:pPr>
        <w:pStyle w:val="style4110"/>
        <w:rPr/>
      </w:pPr>
    </w:p>
    <w:p>
      <w:pPr>
        <w:pStyle w:val="style4110"/>
        <w:rPr/>
      </w:pPr>
      <w:r>
        <w:t>MEASUREMENT OF GAS VOID FRACTION IN HORIZONTAL PIPE</w:t>
      </w:r>
    </w:p>
    <w:p>
      <w:pPr>
        <w:pStyle w:val="style4110"/>
        <w:rPr/>
      </w:pPr>
    </w:p>
    <w:p>
      <w:pPr>
        <w:pStyle w:val="style4110"/>
        <w:rPr/>
      </w:pPr>
    </w:p>
    <w:p>
      <w:pPr>
        <w:pStyle w:val="style4110"/>
        <w:rPr/>
      </w:pPr>
    </w:p>
    <w:p>
      <w:pPr>
        <w:pStyle w:val="style4110"/>
        <w:rPr/>
      </w:pPr>
    </w:p>
    <w:p>
      <w:pPr>
        <w:pStyle w:val="style4110"/>
        <w:rPr/>
      </w:pPr>
    </w:p>
    <w:p>
      <w:pPr>
        <w:pStyle w:val="style4110"/>
        <w:rPr/>
      </w:pPr>
      <w:r>
        <w:t>ENG485</w:t>
      </w:r>
      <w:r>
        <w:t>: TECHNICAL</w:t>
      </w:r>
      <w:r>
        <w:t xml:space="preserve"> REPORT WRITTING</w:t>
      </w:r>
    </w:p>
    <w:p>
      <w:pPr>
        <w:pStyle w:val="style4110"/>
        <w:rPr/>
      </w:pPr>
    </w:p>
    <w:p>
      <w:pPr>
        <w:pStyle w:val="style4110"/>
        <w:rPr/>
      </w:pPr>
    </w:p>
    <w:p>
      <w:pPr>
        <w:pStyle w:val="style4110"/>
        <w:rPr/>
      </w:pPr>
    </w:p>
    <w:p>
      <w:pPr>
        <w:pStyle w:val="style4110"/>
        <w:rPr/>
      </w:pPr>
    </w:p>
    <w:p>
      <w:pPr>
        <w:pStyle w:val="style4110"/>
        <w:rPr/>
      </w:pPr>
      <w:r>
        <w:t>THIS THESIS IS SUBMITTED IN PARTIAL FULFILMENT OF THE REQUIREMENTS FOR THE DEGREE O</w:t>
      </w:r>
      <w:r>
        <w:t xml:space="preserve">F THE BACHELOR OF ENGINEERING (B.ENG) DEGREE IN CHEMICAL </w:t>
      </w:r>
      <w:r>
        <w:t xml:space="preserve">ENGINEERING </w:t>
      </w:r>
      <w:r>
        <w:t>AT THE AFE BABALOLA UNIVERSITY ADO E</w:t>
      </w:r>
      <w:r>
        <w:t>KITI</w:t>
      </w:r>
      <w:r>
        <w:t>.</w:t>
      </w:r>
    </w:p>
    <w:p>
      <w:pPr>
        <w:pStyle w:val="style4110"/>
        <w:rPr/>
      </w:pPr>
    </w:p>
    <w:p>
      <w:pPr>
        <w:pStyle w:val="style4110"/>
        <w:rPr/>
      </w:pPr>
      <w:r>
        <w:t>ACADEMIC YEAR: 2016-2017</w:t>
      </w:r>
    </w:p>
    <w:p>
      <w:pPr>
        <w:pStyle w:val="style4110"/>
        <w:jc w:val="both"/>
        <w:rPr/>
      </w:pPr>
    </w:p>
    <w:p>
      <w:pPr>
        <w:pStyle w:val="style4110"/>
        <w:rPr/>
      </w:pPr>
      <w:r>
        <w:t>SUPERVISOR:</w:t>
      </w:r>
      <w:r>
        <w:t xml:space="preserve"> </w:t>
      </w:r>
      <w:r>
        <w:t>DR YAHAYA</w:t>
      </w:r>
    </w:p>
    <w:p>
      <w:pPr>
        <w:pStyle w:val="style4110"/>
        <w:rPr/>
      </w:pPr>
      <w:r>
        <w:t>NOVEMBER 2017.</w:t>
      </w:r>
    </w:p>
    <w:p>
      <w:pPr>
        <w:pStyle w:val="style4110"/>
        <w:rPr/>
      </w:pPr>
    </w:p>
    <w:p>
      <w:pPr>
        <w:pStyle w:val="style4110"/>
        <w:rPr/>
      </w:pPr>
    </w:p>
    <w:p>
      <w:pPr>
        <w:pStyle w:val="style4110"/>
        <w:rPr/>
      </w:pPr>
    </w:p>
    <w:bookmarkStart w:id="0" w:name="_Toc290554218"/>
    <w:bookmarkStart w:id="1" w:name="_Toc299621183"/>
    <w:bookmarkStart w:id="2" w:name="_Toc299631411"/>
    <w:bookmarkStart w:id="3" w:name="_Toc299631471"/>
    <w:bookmarkStart w:id="4" w:name="_Toc299631561"/>
    <w:bookmarkStart w:id="5" w:name="_Toc299631638"/>
    <w:bookmarkStart w:id="6" w:name="_Toc498125299"/>
    <w:p>
      <w:pPr>
        <w:pStyle w:val="style4107"/>
        <w:jc w:val="center"/>
        <w:rPr/>
      </w:pPr>
      <w:r>
        <w:t>ABSTRACT</w:t>
      </w:r>
      <w:bookmarkEnd w:id="0"/>
      <w:bookmarkEnd w:id="1"/>
      <w:bookmarkEnd w:id="2"/>
      <w:bookmarkEnd w:id="3"/>
      <w:bookmarkEnd w:id="4"/>
      <w:bookmarkEnd w:id="5"/>
      <w:bookmarkEnd w:id="6"/>
    </w:p>
    <w:bookmarkStart w:id="7" w:name="_GoBack"/>
    <w:bookmarkEnd w:id="7"/>
    <w:p>
      <w:pPr>
        <w:pStyle w:val="style0"/>
        <w:ind w:firstLine="720"/>
        <w:rPr/>
      </w:pPr>
      <w:r>
        <w:t>Inaccurate measurement would introduce errors in product measurement with potentials for loss of revenue. Accurate measurement is often constrained by invasive and expensive online measurement techniques</w:t>
      </w:r>
      <w:r>
        <w:t>.</w:t>
      </w:r>
      <w:r>
        <w:t xml:space="preserve"> This work focuses on the use of an alumini</w:t>
      </w:r>
      <w:r>
        <w:t>um pipe w</w:t>
      </w:r>
      <w:r>
        <w:t xml:space="preserve"> to test the multi-beam gamma-ray measurement principles</w:t>
      </w:r>
      <w:r>
        <w:t>.</w:t>
      </w:r>
      <w:r>
        <w:t xml:space="preserve"> The aluminium pipe, sour</w:t>
      </w:r>
      <w:r>
        <w:t xml:space="preserve">ce and detector are mounted in </w:t>
      </w:r>
      <w:r>
        <w:t>a computer-controlled test platform</w:t>
      </w:r>
      <w:r>
        <w:t xml:space="preserve">, on </w:t>
      </w:r>
      <w:r>
        <w:t>which the detectors are positioned around the pipe to an acc</w:t>
      </w:r>
      <w:r>
        <w:t>uracy of 61</w:t>
      </w:r>
      <w:r>
        <w:rPr>
          <w:vertAlign w:val="superscript"/>
        </w:rPr>
        <w:t>0</w:t>
      </w:r>
      <w:r>
        <w:t>. The CZT detector is moved by 8</w:t>
      </w:r>
      <w:r>
        <w:rPr>
          <w:rFonts w:eastAsia="Symbol"/>
        </w:rPr>
        <w:t>°</w:t>
      </w:r>
      <w:r>
        <w:t xml:space="preserve"> between each measurement to obtain detector responses in several positions around the pipe with fixed flow regimes</w:t>
      </w:r>
      <w:r>
        <w:rPr>
          <w:color w:val="363435"/>
          <w:sz w:val="21"/>
          <w:szCs w:val="21"/>
        </w:rPr>
        <w:t xml:space="preserve"> </w:t>
      </w:r>
      <w:r>
        <w:t>.</w:t>
      </w:r>
      <w:r>
        <w:t>It is concluded</w:t>
      </w:r>
      <w:r>
        <w:t xml:space="preserve"> </w:t>
      </w:r>
      <w:r>
        <w:t xml:space="preserve">that </w:t>
      </w:r>
      <w:r>
        <w:t>using</w:t>
      </w:r>
      <w:r>
        <w:t xml:space="preserve"> the multi-beam gamma-ray measurement principles, accurate measurements can be made when measurements of four detector positions around the pipe are combined. However, it should be noted that the results depend on the pipe-wall material and thickness, pipe dimen</w:t>
      </w:r>
      <w:r>
        <w:t>sions, and finally, on the com</w:t>
      </w:r>
      <w:r>
        <w:t>position of the flow.</w:t>
      </w:r>
    </w:p>
    <w:p>
      <w:pPr>
        <w:pStyle w:val="style0"/>
        <w:rPr/>
      </w:pPr>
    </w:p>
    <w:p>
      <w:pPr>
        <w:pStyle w:val="style1"/>
        <w:numPr>
          <w:ilvl w:val="0"/>
          <w:numId w:val="0"/>
        </w:numPr>
        <w:ind w:left="0" w:firstLine="0"/>
        <w:rPr>
          <w:rFonts w:ascii="Times New Roman" w:hAnsi="Times New Roman"/>
          <w:lang w:val="en-US"/>
        </w:rPr>
      </w:pPr>
    </w:p>
    <w:p>
      <w:pPr>
        <w:pStyle w:val="style2"/>
        <w:rPr/>
      </w:pPr>
      <w:r>
        <w:rPr>
          <w:spacing w:val="51"/>
        </w:rPr>
        <w:t xml:space="preserve"> </w:t>
      </w:r>
      <w:bookmarkStart w:id="8" w:name="_Toc498125306"/>
      <w:r>
        <w:t>Introduction</w:t>
      </w:r>
      <w:bookmarkEnd w:id="8"/>
    </w:p>
    <w:p>
      <w:pPr>
        <w:pStyle w:val="style0"/>
        <w:ind w:firstLine="720"/>
        <w:rPr/>
      </w:pPr>
      <w:r>
        <w:t>The</w:t>
      </w:r>
      <w:r>
        <w:rPr>
          <w:spacing w:val="6"/>
        </w:rPr>
        <w:t xml:space="preserve"> </w:t>
      </w:r>
      <w:r>
        <w:t>oil</w:t>
      </w:r>
      <w:r>
        <w:rPr>
          <w:spacing w:val="8"/>
        </w:rPr>
        <w:t xml:space="preserve"> </w:t>
      </w:r>
      <w:r>
        <w:t>and</w:t>
      </w:r>
      <w:r>
        <w:rPr>
          <w:spacing w:val="7"/>
        </w:rPr>
        <w:t xml:space="preserve"> </w:t>
      </w:r>
      <w:r>
        <w:t>gas</w:t>
      </w:r>
      <w:r>
        <w:rPr>
          <w:spacing w:val="7"/>
        </w:rPr>
        <w:t xml:space="preserve"> </w:t>
      </w:r>
      <w:r>
        <w:t>production industry</w:t>
      </w:r>
      <w:r>
        <w:rPr>
          <w:spacing w:val="2"/>
        </w:rPr>
        <w:t xml:space="preserve"> </w:t>
      </w:r>
      <w:r>
        <w:t>has</w:t>
      </w:r>
      <w:r>
        <w:rPr>
          <w:spacing w:val="7"/>
        </w:rPr>
        <w:t xml:space="preserve"> </w:t>
      </w:r>
      <w:r>
        <w:t>a</w:t>
      </w:r>
      <w:r>
        <w:rPr>
          <w:spacing w:val="9"/>
        </w:rPr>
        <w:t xml:space="preserve"> </w:t>
      </w:r>
      <w:r>
        <w:t>need</w:t>
      </w:r>
      <w:r>
        <w:rPr>
          <w:spacing w:val="5"/>
        </w:rPr>
        <w:t xml:space="preserve"> </w:t>
      </w:r>
      <w:r>
        <w:t>for accurate</w:t>
      </w:r>
      <w:r>
        <w:rPr>
          <w:spacing w:val="7"/>
        </w:rPr>
        <w:t xml:space="preserve"> </w:t>
      </w:r>
      <w:r>
        <w:t>measurements of</w:t>
      </w:r>
      <w:r>
        <w:rPr>
          <w:spacing w:val="11"/>
        </w:rPr>
        <w:t xml:space="preserve"> </w:t>
      </w:r>
      <w:r>
        <w:t>the</w:t>
      </w:r>
      <w:r>
        <w:rPr>
          <w:spacing w:val="10"/>
        </w:rPr>
        <w:t xml:space="preserve"> </w:t>
      </w:r>
      <w:r>
        <w:t>oil</w:t>
      </w:r>
      <w:r>
        <w:rPr>
          <w:spacing w:val="12"/>
        </w:rPr>
        <w:t xml:space="preserve"> </w:t>
      </w:r>
      <w:r>
        <w:t>and</w:t>
      </w:r>
      <w:r>
        <w:rPr>
          <w:spacing w:val="9"/>
        </w:rPr>
        <w:t xml:space="preserve"> </w:t>
      </w:r>
      <w:r>
        <w:t>gas</w:t>
      </w:r>
      <w:r>
        <w:rPr>
          <w:spacing w:val="9"/>
        </w:rPr>
        <w:t xml:space="preserve"> </w:t>
      </w:r>
      <w:r>
        <w:t>fractions</w:t>
      </w:r>
      <w:r>
        <w:rPr>
          <w:spacing w:val="8"/>
        </w:rPr>
        <w:t xml:space="preserve"> </w:t>
      </w:r>
      <w:r>
        <w:t>in pipelines.</w:t>
      </w:r>
      <w:r>
        <w:rPr>
          <w:spacing w:val="1"/>
        </w:rPr>
        <w:t xml:space="preserve"> </w:t>
      </w:r>
      <w:r>
        <w:t>Improved</w:t>
      </w:r>
      <w:r>
        <w:rPr>
          <w:spacing w:val="3"/>
        </w:rPr>
        <w:t xml:space="preserve"> </w:t>
      </w:r>
      <w:r>
        <w:t>production</w:t>
      </w:r>
      <w:r>
        <w:rPr>
          <w:spacing w:val="5"/>
        </w:rPr>
        <w:t xml:space="preserve"> </w:t>
      </w:r>
      <w:r>
        <w:t>techniques have</w:t>
      </w:r>
      <w:r>
        <w:rPr>
          <w:spacing w:val="7"/>
        </w:rPr>
        <w:t xml:space="preserve"> </w:t>
      </w:r>
      <w:r>
        <w:t>made</w:t>
      </w:r>
      <w:r>
        <w:rPr>
          <w:spacing w:val="5"/>
        </w:rPr>
        <w:t xml:space="preserve"> </w:t>
      </w:r>
      <w:r>
        <w:t xml:space="preserve">it economically feasible </w:t>
      </w:r>
      <w:r>
        <w:rPr>
          <w:spacing w:val="6"/>
        </w:rPr>
        <w:t>to</w:t>
      </w:r>
      <w:r>
        <w:t xml:space="preserve"> </w:t>
      </w:r>
      <w:r>
        <w:rPr>
          <w:spacing w:val="11"/>
        </w:rPr>
        <w:t>produce</w:t>
      </w:r>
      <w:r>
        <w:t xml:space="preserve"> </w:t>
      </w:r>
      <w:r>
        <w:rPr>
          <w:spacing w:val="6"/>
        </w:rPr>
        <w:t>from</w:t>
      </w:r>
      <w:r>
        <w:t xml:space="preserve"> </w:t>
      </w:r>
      <w:r>
        <w:rPr>
          <w:spacing w:val="9"/>
        </w:rPr>
        <w:t>smaller</w:t>
      </w:r>
      <w:r>
        <w:t xml:space="preserve"> (marginal) reservoirs</w:t>
      </w:r>
      <w:r>
        <w:rPr>
          <w:spacing w:val="1"/>
        </w:rPr>
        <w:t xml:space="preserve"> </w:t>
      </w:r>
      <w:r>
        <w:t>by</w:t>
      </w:r>
      <w:r>
        <w:rPr>
          <w:spacing w:val="8"/>
        </w:rPr>
        <w:t xml:space="preserve"> </w:t>
      </w:r>
      <w:r>
        <w:t>using</w:t>
      </w:r>
      <w:r>
        <w:rPr>
          <w:spacing w:val="3"/>
        </w:rPr>
        <w:t xml:space="preserve"> </w:t>
      </w:r>
      <w:r>
        <w:t>subsea</w:t>
      </w:r>
      <w:r>
        <w:rPr>
          <w:spacing w:val="4"/>
        </w:rPr>
        <w:t xml:space="preserve"> </w:t>
      </w:r>
      <w:r>
        <w:t>and</w:t>
      </w:r>
      <w:r>
        <w:rPr>
          <w:spacing w:val="8"/>
        </w:rPr>
        <w:t xml:space="preserve"> </w:t>
      </w:r>
      <w:r>
        <w:t>even</w:t>
      </w:r>
      <w:r>
        <w:rPr>
          <w:spacing w:val="3"/>
        </w:rPr>
        <w:t xml:space="preserve"> </w:t>
      </w:r>
      <w:r>
        <w:t>down- hole</w:t>
      </w:r>
      <w:r>
        <w:rPr>
          <w:spacing w:val="1"/>
        </w:rPr>
        <w:t xml:space="preserve"> </w:t>
      </w:r>
      <w:r>
        <w:t>production</w:t>
      </w:r>
      <w:r>
        <w:rPr>
          <w:spacing w:val="-7"/>
        </w:rPr>
        <w:t xml:space="preserve"> </w:t>
      </w:r>
      <w:r>
        <w:t>units. With</w:t>
      </w:r>
      <w:r>
        <w:rPr>
          <w:spacing w:val="1"/>
        </w:rPr>
        <w:t xml:space="preserve"> </w:t>
      </w:r>
      <w:r>
        <w:t>several</w:t>
      </w:r>
      <w:r>
        <w:rPr>
          <w:spacing w:val="-2"/>
        </w:rPr>
        <w:t xml:space="preserve"> </w:t>
      </w:r>
      <w:r>
        <w:t>production</w:t>
      </w:r>
      <w:r>
        <w:rPr>
          <w:spacing w:val="-4"/>
        </w:rPr>
        <w:t xml:space="preserve"> </w:t>
      </w:r>
      <w:r>
        <w:t>lines running</w:t>
      </w:r>
      <w:r>
        <w:rPr>
          <w:spacing w:val="6"/>
        </w:rPr>
        <w:t xml:space="preserve"> </w:t>
      </w:r>
      <w:r>
        <w:t>into</w:t>
      </w:r>
      <w:r>
        <w:rPr>
          <w:spacing w:val="5"/>
        </w:rPr>
        <w:t xml:space="preserve"> </w:t>
      </w:r>
      <w:r>
        <w:t>a</w:t>
      </w:r>
      <w:r>
        <w:rPr>
          <w:spacing w:val="11"/>
        </w:rPr>
        <w:t xml:space="preserve"> </w:t>
      </w:r>
      <w:r>
        <w:t>production separator</w:t>
      </w:r>
      <w:r>
        <w:rPr>
          <w:spacing w:val="1"/>
        </w:rPr>
        <w:t xml:space="preserve"> </w:t>
      </w:r>
      <w:r>
        <w:t>on</w:t>
      </w:r>
      <w:r>
        <w:rPr>
          <w:spacing w:val="9"/>
        </w:rPr>
        <w:t xml:space="preserve"> </w:t>
      </w:r>
      <w:r>
        <w:t>the</w:t>
      </w:r>
      <w:r>
        <w:rPr>
          <w:spacing w:val="9"/>
        </w:rPr>
        <w:t xml:space="preserve"> </w:t>
      </w:r>
      <w:r>
        <w:t>platform,</w:t>
      </w:r>
      <w:r>
        <w:rPr>
          <w:spacing w:val="2"/>
        </w:rPr>
        <w:t xml:space="preserve"> </w:t>
      </w:r>
      <w:r>
        <w:t>it</w:t>
      </w:r>
      <w:r>
        <w:rPr>
          <w:spacing w:val="7"/>
        </w:rPr>
        <w:t xml:space="preserve"> </w:t>
      </w:r>
      <w:r>
        <w:t>is impossible to</w:t>
      </w:r>
      <w:r>
        <w:rPr>
          <w:spacing w:val="6"/>
        </w:rPr>
        <w:t xml:space="preserve"> </w:t>
      </w:r>
      <w:r>
        <w:t>measure</w:t>
      </w:r>
      <w:r>
        <w:rPr>
          <w:spacing w:val="5"/>
        </w:rPr>
        <w:t xml:space="preserve"> </w:t>
      </w:r>
      <w:r>
        <w:t>the</w:t>
      </w:r>
      <w:r>
        <w:rPr>
          <w:spacing w:val="4"/>
        </w:rPr>
        <w:t xml:space="preserve"> </w:t>
      </w:r>
      <w:r>
        <w:t>gas</w:t>
      </w:r>
      <w:r>
        <w:rPr>
          <w:spacing w:val="9"/>
        </w:rPr>
        <w:t xml:space="preserve"> </w:t>
      </w:r>
      <w:r>
        <w:t>fraction</w:t>
      </w:r>
      <w:r>
        <w:rPr>
          <w:spacing w:val="2"/>
        </w:rPr>
        <w:t xml:space="preserve"> </w:t>
      </w:r>
      <w:r>
        <w:t>in</w:t>
      </w:r>
      <w:r>
        <w:rPr>
          <w:spacing w:val="6"/>
        </w:rPr>
        <w:t xml:space="preserve"> </w:t>
      </w:r>
      <w:r>
        <w:t>each</w:t>
      </w:r>
      <w:r>
        <w:rPr>
          <w:spacing w:val="5"/>
        </w:rPr>
        <w:t xml:space="preserve"> </w:t>
      </w:r>
      <w:r>
        <w:t>line.</w:t>
      </w:r>
      <w:r>
        <w:rPr>
          <w:spacing w:val="8"/>
        </w:rPr>
        <w:t xml:space="preserve"> </w:t>
      </w:r>
      <w:r>
        <w:t>At present,</w:t>
      </w:r>
      <w:r>
        <w:rPr>
          <w:spacing w:val="10"/>
        </w:rPr>
        <w:t xml:space="preserve"> </w:t>
      </w:r>
      <w:r>
        <w:t>the</w:t>
      </w:r>
      <w:r>
        <w:rPr>
          <w:spacing w:val="14"/>
        </w:rPr>
        <w:t xml:space="preserve"> </w:t>
      </w:r>
      <w:r>
        <w:t>flow is</w:t>
      </w:r>
      <w:r>
        <w:rPr>
          <w:spacing w:val="16"/>
        </w:rPr>
        <w:t xml:space="preserve"> </w:t>
      </w:r>
      <w:r>
        <w:t>separated</w:t>
      </w:r>
      <w:r>
        <w:rPr>
          <w:spacing w:val="7"/>
        </w:rPr>
        <w:t xml:space="preserve"> </w:t>
      </w:r>
      <w:r>
        <w:t>and</w:t>
      </w:r>
      <w:r>
        <w:rPr>
          <w:spacing w:val="15"/>
        </w:rPr>
        <w:t xml:space="preserve"> </w:t>
      </w:r>
      <w:r>
        <w:t>then</w:t>
      </w:r>
      <w:r>
        <w:rPr>
          <w:spacing w:val="12"/>
        </w:rPr>
        <w:t xml:space="preserve"> </w:t>
      </w:r>
      <w:r>
        <w:t>the</w:t>
      </w:r>
      <w:r>
        <w:rPr>
          <w:spacing w:val="14"/>
        </w:rPr>
        <w:t xml:space="preserve"> </w:t>
      </w:r>
      <w:r>
        <w:t>fractions</w:t>
      </w:r>
      <w:r>
        <w:rPr>
          <w:spacing w:val="11"/>
        </w:rPr>
        <w:t xml:space="preserve"> </w:t>
      </w:r>
      <w:r>
        <w:t>are measured. A</w:t>
      </w:r>
      <w:r>
        <w:rPr>
          <w:spacing w:val="9"/>
        </w:rPr>
        <w:t xml:space="preserve"> </w:t>
      </w:r>
      <w:r>
        <w:t>test</w:t>
      </w:r>
      <w:r>
        <w:rPr>
          <w:spacing w:val="9"/>
        </w:rPr>
        <w:t xml:space="preserve"> </w:t>
      </w:r>
      <w:r>
        <w:t>separator</w:t>
      </w:r>
      <w:r>
        <w:rPr>
          <w:spacing w:val="3"/>
        </w:rPr>
        <w:t xml:space="preserve"> </w:t>
      </w:r>
      <w:r>
        <w:t>is</w:t>
      </w:r>
      <w:r>
        <w:rPr>
          <w:spacing w:val="8"/>
        </w:rPr>
        <w:t xml:space="preserve"> </w:t>
      </w:r>
      <w:r>
        <w:t>used</w:t>
      </w:r>
      <w:r>
        <w:rPr>
          <w:spacing w:val="4"/>
        </w:rPr>
        <w:t xml:space="preserve"> </w:t>
      </w:r>
      <w:r>
        <w:t>to</w:t>
      </w:r>
      <w:r>
        <w:rPr>
          <w:spacing w:val="10"/>
        </w:rPr>
        <w:t xml:space="preserve"> </w:t>
      </w:r>
      <w:r>
        <w:t>separate</w:t>
      </w:r>
      <w:r>
        <w:rPr>
          <w:spacing w:val="4"/>
        </w:rPr>
        <w:t xml:space="preserve"> </w:t>
      </w:r>
      <w:r>
        <w:t>the</w:t>
      </w:r>
      <w:r>
        <w:rPr>
          <w:spacing w:val="6"/>
        </w:rPr>
        <w:t xml:space="preserve"> </w:t>
      </w:r>
      <w:r>
        <w:t>flow and</w:t>
      </w:r>
      <w:r>
        <w:rPr>
          <w:spacing w:val="29"/>
        </w:rPr>
        <w:t xml:space="preserve"> </w:t>
      </w:r>
      <w:r>
        <w:t>then</w:t>
      </w:r>
      <w:r>
        <w:rPr>
          <w:spacing w:val="33"/>
        </w:rPr>
        <w:t xml:space="preserve"> </w:t>
      </w:r>
      <w:r>
        <w:t>the</w:t>
      </w:r>
      <w:r>
        <w:rPr>
          <w:spacing w:val="30"/>
        </w:rPr>
        <w:t xml:space="preserve"> </w:t>
      </w:r>
      <w:r>
        <w:t>individual</w:t>
      </w:r>
      <w:r>
        <w:rPr>
          <w:spacing w:val="25"/>
        </w:rPr>
        <w:t xml:space="preserve"> </w:t>
      </w:r>
      <w:r>
        <w:t>phases</w:t>
      </w:r>
      <w:r>
        <w:rPr>
          <w:spacing w:val="28"/>
        </w:rPr>
        <w:t xml:space="preserve"> </w:t>
      </w:r>
      <w:r>
        <w:t>in</w:t>
      </w:r>
      <w:r>
        <w:rPr>
          <w:spacing w:val="31"/>
        </w:rPr>
        <w:t xml:space="preserve"> </w:t>
      </w:r>
      <w:r>
        <w:t>each</w:t>
      </w:r>
      <w:r>
        <w:rPr>
          <w:spacing w:val="32"/>
        </w:rPr>
        <w:t xml:space="preserve"> </w:t>
      </w:r>
      <w:r>
        <w:t>production</w:t>
      </w:r>
      <w:r>
        <w:rPr>
          <w:spacing w:val="24"/>
        </w:rPr>
        <w:t xml:space="preserve"> </w:t>
      </w:r>
      <w:r>
        <w:t>line are</w:t>
      </w:r>
      <w:r>
        <w:rPr>
          <w:spacing w:val="4"/>
        </w:rPr>
        <w:t xml:space="preserve"> </w:t>
      </w:r>
      <w:r>
        <w:t>measured</w:t>
      </w:r>
      <w:r>
        <w:rPr>
          <w:spacing w:val="4"/>
        </w:rPr>
        <w:t xml:space="preserve"> </w:t>
      </w:r>
      <w:r>
        <w:t>at</w:t>
      </w:r>
      <w:r>
        <w:rPr>
          <w:spacing w:val="7"/>
        </w:rPr>
        <w:t xml:space="preserve"> </w:t>
      </w:r>
      <w:r>
        <w:t>intervals.</w:t>
      </w:r>
      <w:r>
        <w:rPr>
          <w:spacing w:val="1"/>
        </w:rPr>
        <w:t xml:space="preserve"> </w:t>
      </w:r>
      <w:r>
        <w:t>Usually, turbine</w:t>
      </w:r>
      <w:r>
        <w:rPr>
          <w:spacing w:val="5"/>
        </w:rPr>
        <w:t xml:space="preserve"> </w:t>
      </w:r>
      <w:r>
        <w:t>meters</w:t>
      </w:r>
      <w:r>
        <w:rPr>
          <w:spacing w:val="2"/>
        </w:rPr>
        <w:t xml:space="preserve"> </w:t>
      </w:r>
      <w:r>
        <w:t>and orifice plates</w:t>
      </w:r>
      <w:r>
        <w:rPr>
          <w:spacing w:val="12"/>
        </w:rPr>
        <w:t xml:space="preserve"> </w:t>
      </w:r>
      <w:r>
        <w:t>are</w:t>
      </w:r>
      <w:r>
        <w:rPr>
          <w:spacing w:val="16"/>
        </w:rPr>
        <w:t xml:space="preserve"> </w:t>
      </w:r>
      <w:r>
        <w:t>used</w:t>
      </w:r>
      <w:r>
        <w:rPr>
          <w:spacing w:val="12"/>
        </w:rPr>
        <w:t xml:space="preserve"> </w:t>
      </w:r>
      <w:r>
        <w:t>to</w:t>
      </w:r>
      <w:r>
        <w:rPr>
          <w:spacing w:val="16"/>
        </w:rPr>
        <w:t xml:space="preserve"> </w:t>
      </w:r>
      <w:r>
        <w:t>measure</w:t>
      </w:r>
      <w:r>
        <w:rPr>
          <w:spacing w:val="10"/>
        </w:rPr>
        <w:t xml:space="preserve"> </w:t>
      </w:r>
      <w:r>
        <w:t>the</w:t>
      </w:r>
      <w:r>
        <w:rPr>
          <w:spacing w:val="16"/>
        </w:rPr>
        <w:t xml:space="preserve"> </w:t>
      </w:r>
      <w:r>
        <w:t>oil</w:t>
      </w:r>
      <w:r>
        <w:rPr>
          <w:spacing w:val="13"/>
        </w:rPr>
        <w:t xml:space="preserve"> </w:t>
      </w:r>
      <w:r>
        <w:t>and</w:t>
      </w:r>
      <w:r>
        <w:rPr>
          <w:spacing w:val="15"/>
        </w:rPr>
        <w:t xml:space="preserve"> </w:t>
      </w:r>
      <w:r>
        <w:t>gas</w:t>
      </w:r>
      <w:r>
        <w:rPr>
          <w:spacing w:val="14"/>
        </w:rPr>
        <w:t xml:space="preserve"> </w:t>
      </w:r>
      <w:r>
        <w:t>flows, respectively. One</w:t>
      </w:r>
      <w:r>
        <w:rPr>
          <w:spacing w:val="8"/>
        </w:rPr>
        <w:t xml:space="preserve"> </w:t>
      </w:r>
      <w:r>
        <w:t>disadvantage of</w:t>
      </w:r>
      <w:r>
        <w:rPr>
          <w:spacing w:val="9"/>
        </w:rPr>
        <w:t xml:space="preserve"> </w:t>
      </w:r>
      <w:r>
        <w:t>this</w:t>
      </w:r>
      <w:r>
        <w:rPr>
          <w:spacing w:val="7"/>
        </w:rPr>
        <w:t xml:space="preserve"> </w:t>
      </w:r>
      <w:r>
        <w:t>technique</w:t>
      </w:r>
      <w:r>
        <w:rPr>
          <w:spacing w:val="6"/>
        </w:rPr>
        <w:t xml:space="preserve"> </w:t>
      </w:r>
      <w:r>
        <w:t>is</w:t>
      </w:r>
      <w:r>
        <w:rPr>
          <w:spacing w:val="11"/>
        </w:rPr>
        <w:t xml:space="preserve"> </w:t>
      </w:r>
      <w:r>
        <w:t>that test</w:t>
      </w:r>
      <w:r>
        <w:rPr>
          <w:spacing w:val="6"/>
        </w:rPr>
        <w:t xml:space="preserve"> </w:t>
      </w:r>
      <w:r>
        <w:t>separators are</w:t>
      </w:r>
      <w:r>
        <w:rPr>
          <w:spacing w:val="5"/>
        </w:rPr>
        <w:t xml:space="preserve"> </w:t>
      </w:r>
      <w:r>
        <w:t>large</w:t>
      </w:r>
      <w:r>
        <w:rPr>
          <w:spacing w:val="6"/>
        </w:rPr>
        <w:t xml:space="preserve"> </w:t>
      </w:r>
      <w:r>
        <w:t>units</w:t>
      </w:r>
      <w:r>
        <w:rPr>
          <w:spacing w:val="3"/>
        </w:rPr>
        <w:t xml:space="preserve"> </w:t>
      </w:r>
      <w:r>
        <w:t>and</w:t>
      </w:r>
      <w:r>
        <w:rPr>
          <w:spacing w:val="5"/>
        </w:rPr>
        <w:t xml:space="preserve"> </w:t>
      </w:r>
      <w:r>
        <w:t>space</w:t>
      </w:r>
      <w:r>
        <w:rPr>
          <w:spacing w:val="5"/>
        </w:rPr>
        <w:t xml:space="preserve"> </w:t>
      </w:r>
      <w:r>
        <w:t>costs</w:t>
      </w:r>
      <w:r>
        <w:rPr>
          <w:spacing w:val="3"/>
        </w:rPr>
        <w:t xml:space="preserve"> </w:t>
      </w:r>
      <w:r>
        <w:t>on</w:t>
      </w:r>
      <w:r>
        <w:rPr>
          <w:spacing w:val="5"/>
        </w:rPr>
        <w:t xml:space="preserve"> </w:t>
      </w:r>
      <w:r>
        <w:t>a</w:t>
      </w:r>
      <w:r>
        <w:rPr>
          <w:spacing w:val="8"/>
        </w:rPr>
        <w:t xml:space="preserve"> </w:t>
      </w:r>
      <w:r>
        <w:t>production</w:t>
      </w:r>
      <w:r>
        <w:rPr>
          <w:spacing w:val="18"/>
        </w:rPr>
        <w:t xml:space="preserve"> </w:t>
      </w:r>
      <w:r>
        <w:t>platform</w:t>
      </w:r>
      <w:r>
        <w:rPr>
          <w:spacing w:val="15"/>
        </w:rPr>
        <w:t xml:space="preserve"> </w:t>
      </w:r>
      <w:r>
        <w:t>are</w:t>
      </w:r>
      <w:r>
        <w:rPr>
          <w:spacing w:val="21"/>
        </w:rPr>
        <w:t xml:space="preserve"> </w:t>
      </w:r>
      <w:r>
        <w:t>high.</w:t>
      </w:r>
      <w:r>
        <w:t xml:space="preserve"> </w:t>
      </w:r>
      <w:r>
        <w:rPr>
          <w:lang w:val="en-US"/>
        </w:rPr>
        <w:t xml:space="preserve">A multiphase meter on each line that measures the water, oil and gas flows offers better production control than test separators, </w:t>
      </w:r>
      <w:r>
        <w:rPr>
          <w:lang w:val="en-US"/>
        </w:rPr>
        <w:t>and online measurements of pro</w:t>
      </w:r>
      <w:r>
        <w:rPr>
          <w:lang w:val="en-US"/>
        </w:rPr>
        <w:t>duction at each uni</w:t>
      </w:r>
      <w:r>
        <w:rPr>
          <w:lang w:val="en-US"/>
        </w:rPr>
        <w:t>t are necessary to optimize pro</w:t>
      </w:r>
      <w:r>
        <w:rPr>
          <w:lang w:val="en-US"/>
        </w:rPr>
        <w:t>duction. During the past decade, much work has been devoted to the development of three-phase meters cap- able of measuring oil, gas and water in pipelines. Multi- phase meters should pre</w:t>
      </w:r>
      <w:r>
        <w:rPr>
          <w:lang w:val="en-US"/>
        </w:rPr>
        <w:t>ferably have non-intrusive sen</w:t>
      </w:r>
      <w:r>
        <w:rPr>
          <w:lang w:val="en-US"/>
        </w:rPr>
        <w:t xml:space="preserve">sors for several reasons, including the elimination of pressure drop over the instrument, their lack of impact on the flow and the elimination of detector corrosion. Most multiphase meters include measurements of either single- or multi-energy </w:t>
      </w:r>
      <w:r>
        <w:rPr>
          <w:lang w:val="en-US"/>
        </w:rPr>
        <w:t>gamma-ray attenuation for frac</w:t>
      </w:r>
      <w:r>
        <w:rPr>
          <w:lang w:val="en-US"/>
        </w:rPr>
        <w:t>tion measurements (1)</w:t>
      </w:r>
      <w:r>
        <w:rPr>
          <w:lang w:val="en-US"/>
        </w:rPr>
        <w:t>.</w:t>
      </w:r>
    </w:p>
    <w:p>
      <w:pPr>
        <w:pStyle w:val="style0"/>
        <w:ind w:firstLine="720"/>
        <w:rPr>
          <w:lang w:val="en-US"/>
        </w:rPr>
      </w:pPr>
      <w:r>
        <w:rPr>
          <w:lang w:val="en-US"/>
        </w:rPr>
        <w:t>Conventional gamma-</w:t>
      </w:r>
      <w:r>
        <w:rPr>
          <w:lang w:val="en-US"/>
        </w:rPr>
        <w:t>ray densitometers utilize a sin</w:t>
      </w:r>
      <w:r>
        <w:rPr>
          <w:lang w:val="en-US"/>
        </w:rPr>
        <w:t>gle 137Cs (662 Kev) source and detector (Photo Multi- plier Tube, PMT) located diametrically opposite each other.  PMTs have a diameter of several centimeters. Gamma-ray densitometers have clamp-on capability, which is to say that these instruments can be installed and removed without shutting down the process. Where</w:t>
      </w:r>
      <w:r>
        <w:rPr>
          <w:lang w:val="en-US"/>
        </w:rPr>
        <w:t xml:space="preserve"> </w:t>
      </w:r>
      <w:r>
        <w:rPr>
          <w:lang w:val="en-US"/>
        </w:rPr>
        <w:t>low-energy gamma-ray densitometers are used, the clamp-on capability is lost due to the need for radiation windows in the pipe w</w:t>
      </w:r>
      <w:r>
        <w:rPr>
          <w:lang w:val="en-US"/>
        </w:rPr>
        <w:t>alls. However, gamma-ray densi</w:t>
      </w:r>
      <w:r>
        <w:rPr>
          <w:lang w:val="en-US"/>
        </w:rPr>
        <w:t>tometers used in multiphase meters do not need to be clamp-on.</w:t>
      </w:r>
    </w:p>
    <w:p>
      <w:pPr>
        <w:pStyle w:val="style0"/>
        <w:ind w:firstLine="720"/>
        <w:rPr/>
      </w:pPr>
      <w:r>
        <w:t>a-ray densitometry can be studied with the aid of the phantoms listed in Table 1</w:t>
      </w:r>
      <w:r>
        <w:t>-1</w:t>
      </w:r>
      <w:r>
        <w:t xml:space="preserve">, which have fixed void fractions and flow regimes. A PMT is located diametrically opposite the source (241Am).  In Fig. </w:t>
      </w:r>
      <w:r>
        <w:t>1-</w:t>
      </w:r>
      <w:r>
        <w:t xml:space="preserve">10 the measured void fractions of these known phantoms of the single-beam gamma- ray densitometer are presented.  A steel cap with an Ø10 mm hole was used to collimate </w:t>
      </w:r>
      <w:r>
        <w:t xml:space="preserve">the PMT in order to minimize the contribution of scattered photons and to achieve a lower count rate. The deviation between the true void fraction and the measured void fraction appears Fig. </w:t>
      </w:r>
      <w:r>
        <w:t>1-</w:t>
      </w:r>
      <w:r>
        <w:t>10. Measured void fraction versus true void fraction using single-beam gamma-</w:t>
      </w:r>
      <w:r>
        <w:t xml:space="preserve">ray densitometer </w:t>
      </w:r>
      <w:r>
        <w:t xml:space="preserve">with 241Am source. </w:t>
      </w:r>
      <w:r>
        <w:t>The solid line represents the ideal case, with no deviation between true and measured void fractions .regimes are the cause of the deviations between measured and true void fractions. Since the deviations appear to be similar for calculated and measured void fractions, the models used to describe the calculated void fraction of annular and stratified flows are satisfactory.</w:t>
      </w:r>
    </w:p>
    <w:p>
      <w:pPr>
        <w:pStyle w:val="style0"/>
        <w:ind w:firstLine="720"/>
        <w:rPr/>
      </w:pPr>
      <w:r>
        <w:t>A performance study of the multi-beam gamma-ray measurement principle requires measurements obtained by a conventional gamma-densitometer. Such a densitometer was constructed: it consists of a single collimated 1 mCi 137Cs (661.7 keV) source and one 20 PMT, installed on a 90 mm steel pipe with a wall thickness of 5 mm.</w:t>
      </w:r>
      <w:r>
        <w:t xml:space="preserve"> </w:t>
      </w:r>
      <w:r>
        <w:t>The phantoms shown in Table</w:t>
      </w:r>
      <w:r>
        <w:t>1-</w:t>
      </w:r>
      <w:r>
        <w:t>1 were used, as they had well-defined void fractions. In accordance with Eq. (</w:t>
      </w:r>
      <w:r>
        <w:t>1-</w:t>
      </w:r>
      <w:r>
        <w:t>8), the measured void fractions were found on the basis of the measured intensities for different void fractions and flow regimes. Fig.</w:t>
      </w:r>
      <w:r>
        <w:t>1-</w:t>
      </w:r>
      <w:r>
        <w:t xml:space="preserve">11 plots the measured void fractions against the true void fractions. By comparing the experimental data from the conventional gamma-densitometer with the data in Figs. </w:t>
      </w:r>
      <w:r>
        <w:t>1-</w:t>
      </w:r>
      <w:r>
        <w:t xml:space="preserve">4 and </w:t>
      </w:r>
      <w:r>
        <w:t>1-</w:t>
      </w:r>
      <w:r>
        <w:t>8, it can be seen that the data fit fairly well with the annular and stratified flows with parallel radiation beams, respectively.</w:t>
      </w:r>
    </w:p>
    <w:p>
      <w:pPr>
        <w:pStyle w:val="style0"/>
        <w:rPr/>
      </w:pPr>
      <w:r>
        <w:t>It is obvious from Eq. (</w:t>
      </w:r>
      <w:r>
        <w:t>1-</w:t>
      </w:r>
      <w:r>
        <w:t xml:space="preserve">8) that the Igas/Ioil ratio expresses the sensitivity of the system. </w:t>
      </w:r>
    </w:p>
    <w:p>
      <w:pPr>
        <w:pStyle w:val="style0"/>
        <w:rPr/>
      </w:pPr>
    </w:p>
    <w:p>
      <w:pPr>
        <w:pStyle w:val="style0"/>
        <w:keepNext/>
        <w:jc w:val="center"/>
        <w:rPr/>
      </w:pPr>
      <w:r>
        <w:rPr>
          <w:noProof/>
          <w:lang w:eastAsia="en-GB"/>
        </w:rPr>
        <w:drawing>
          <wp:inline distT="0" distR="0" distL="0" distB="0">
            <wp:extent cx="3047365" cy="3152140"/>
            <wp:effectExtent l="0" t="0" r="635" b="0"/>
            <wp:docPr id="1026" name="Picture 1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2" cstate="print"/>
                    <a:srcRect l="0" t="0" r="0" b="0"/>
                    <a:stretch/>
                  </pic:blipFill>
                  <pic:spPr>
                    <a:xfrm rot="0">
                      <a:off x="0" y="0"/>
                      <a:ext cx="3047365" cy="3152140"/>
                    </a:xfrm>
                    <a:prstGeom prst="rect"/>
                  </pic:spPr>
                </pic:pic>
              </a:graphicData>
            </a:graphic>
          </wp:inline>
        </w:drawing>
      </w:r>
    </w:p>
    <w:bookmarkStart w:id="9" w:name="_Toc498187293"/>
    <w:p>
      <w:pPr>
        <w:pStyle w:val="style34"/>
        <w:rPr/>
      </w:pPr>
      <w:r>
        <w:t xml:space="preserve">Figure </w:t>
      </w:r>
      <w:r>
        <w:rPr/>
        <w:fldChar w:fldCharType="begin"/>
      </w:r>
      <w:r>
        <w:instrText xml:space="preserve"> STYLEREF 1 \s </w:instrText>
      </w:r>
      <w:r>
        <w:rPr/>
        <w:fldChar w:fldCharType="separate"/>
      </w:r>
      <w:r>
        <w:rPr>
          <w:noProof/>
        </w:rPr>
        <w:t>1</w:t>
      </w:r>
      <w:r>
        <w:rPr/>
        <w:fldChar w:fldCharType="end"/>
      </w:r>
      <w:r>
        <w:noBreakHyphen/>
      </w:r>
      <w:r>
        <w:rPr/>
        <w:fldChar w:fldCharType="begin"/>
      </w:r>
      <w:r>
        <w:instrText xml:space="preserve"> SEQ Figure \* ARABIC \s 1 </w:instrText>
      </w:r>
      <w:r>
        <w:rPr/>
        <w:fldChar w:fldCharType="separate"/>
      </w:r>
      <w:r>
        <w:rPr>
          <w:noProof/>
        </w:rPr>
        <w:t>11</w:t>
      </w:r>
      <w:r>
        <w:rPr/>
        <w:fldChar w:fldCharType="end"/>
      </w:r>
      <w:r>
        <w:t xml:space="preserve">: Measured Void Fraction Versus True Void Fraction Using Convectional Gamma-Ray Densitometer With 137cs Sources. </w:t>
      </w:r>
      <w:r>
        <w:t xml:space="preserve">The </w:t>
      </w:r>
      <w:r>
        <w:t>Solid Line Represents The Ideal Case With No Deviation Between True And Measured Void Fractions.</w:t>
      </w:r>
      <w:bookmarkEnd w:id="9"/>
    </w:p>
    <w:p>
      <w:pPr>
        <w:pStyle w:val="style0"/>
        <w:keepNext/>
        <w:jc w:val="center"/>
        <w:rPr/>
      </w:pPr>
      <w:r>
        <w:rPr>
          <w:noProof/>
          <w:lang w:eastAsia="en-GB"/>
        </w:rPr>
        <w:drawing>
          <wp:inline distT="0" distR="0" distL="0" distB="0">
            <wp:extent cx="3047365" cy="3323590"/>
            <wp:effectExtent l="0" t="0" r="635" b="0"/>
            <wp:docPr id="1027" name="Picture 2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0"/>
                    <pic:cNvPicPr/>
                  </pic:nvPicPr>
                  <pic:blipFill>
                    <a:blip r:embed="rId3" cstate="print"/>
                    <a:srcRect l="0" t="0" r="0" b="0"/>
                    <a:stretch/>
                  </pic:blipFill>
                  <pic:spPr>
                    <a:xfrm rot="0">
                      <a:off x="0" y="0"/>
                      <a:ext cx="3047365" cy="3323590"/>
                    </a:xfrm>
                    <a:prstGeom prst="rect"/>
                  </pic:spPr>
                </pic:pic>
              </a:graphicData>
            </a:graphic>
          </wp:inline>
        </w:drawing>
      </w:r>
    </w:p>
    <w:bookmarkStart w:id="10" w:name="_Toc498187294"/>
    <w:p>
      <w:pPr>
        <w:pStyle w:val="style34"/>
        <w:rPr/>
      </w:pPr>
      <w:r>
        <w:t xml:space="preserve">Figure </w:t>
      </w:r>
      <w:r>
        <w:rPr/>
        <w:fldChar w:fldCharType="begin"/>
      </w:r>
      <w:r>
        <w:instrText xml:space="preserve"> STYLEREF 1 \s </w:instrText>
      </w:r>
      <w:r>
        <w:rPr/>
        <w:fldChar w:fldCharType="separate"/>
      </w:r>
      <w:r>
        <w:rPr>
          <w:noProof/>
        </w:rPr>
        <w:t>1</w:t>
      </w:r>
      <w:r>
        <w:rPr/>
        <w:fldChar w:fldCharType="end"/>
      </w:r>
      <w:r>
        <w:noBreakHyphen/>
      </w:r>
      <w:r>
        <w:rPr/>
        <w:fldChar w:fldCharType="begin"/>
      </w:r>
      <w:r>
        <w:instrText xml:space="preserve"> SEQ Figure \* ARABIC \s 1 </w:instrText>
      </w:r>
      <w:r>
        <w:rPr/>
        <w:fldChar w:fldCharType="separate"/>
      </w:r>
      <w:r>
        <w:rPr>
          <w:noProof/>
        </w:rPr>
        <w:t>12</w:t>
      </w:r>
      <w:r>
        <w:rPr/>
        <w:fldChar w:fldCharType="end"/>
      </w:r>
      <w:r>
        <w:t xml:space="preserve">: </w:t>
      </w:r>
      <w:r>
        <w:t>Imix</w:t>
      </w:r>
      <w:r>
        <w:t>/</w:t>
      </w:r>
      <w:r>
        <w:t xml:space="preserve">Ioil </w:t>
      </w:r>
      <w:r>
        <w:t>Ratios against Detector Position For Annular Flow Phantoms.</w:t>
      </w:r>
      <w:bookmarkEnd w:id="10"/>
    </w:p>
    <w:p>
      <w:pPr>
        <w:pStyle w:val="style0"/>
        <w:ind w:firstLine="720"/>
        <w:rPr/>
      </w:pPr>
      <w:r>
        <w:t>It can be seen that</w:t>
      </w:r>
      <w:r>
        <w:t xml:space="preserve"> this</w:t>
      </w:r>
      <w:r>
        <w:t xml:space="preserve"> ratio is higher than 1 in detectors that are registering transmitted photons, i.e. in the collimated beam (see Fig.</w:t>
      </w:r>
      <w:r>
        <w:t>1-</w:t>
      </w:r>
      <w:r>
        <w:t>12 and Fig.</w:t>
      </w:r>
      <w:r>
        <w:t>1-</w:t>
      </w:r>
      <w:r>
        <w:t>13). In multi-</w:t>
      </w:r>
      <w:r>
        <w:t>beam gamma-ray densitometry the Igas/Ioil ratio is smaller than 1 outside the beam. This means that in the oil–gas mixture the number of scattered photons decreases as void fraction increases, due</w:t>
      </w:r>
      <w:r>
        <w:t xml:space="preserve"> to the lower probability of interactions in the gas.</w:t>
      </w:r>
    </w:p>
    <w:p>
      <w:pPr>
        <w:pStyle w:val="style0"/>
        <w:keepNext/>
        <w:jc w:val="center"/>
        <w:rPr/>
      </w:pPr>
      <w:r>
        <w:rPr>
          <w:noProof/>
          <w:lang w:eastAsia="en-GB"/>
        </w:rPr>
        <w:drawing>
          <wp:inline distT="0" distR="0" distL="0" distB="0">
            <wp:extent cx="3047365" cy="3104515"/>
            <wp:effectExtent l="0" t="0" r="635" b="635"/>
            <wp:docPr id="1028" name="Picture 2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21"/>
                    <pic:cNvPicPr/>
                  </pic:nvPicPr>
                  <pic:blipFill>
                    <a:blip r:embed="rId4" cstate="print"/>
                    <a:srcRect l="0" t="0" r="0" b="0"/>
                    <a:stretch/>
                  </pic:blipFill>
                  <pic:spPr>
                    <a:xfrm rot="0">
                      <a:off x="0" y="0"/>
                      <a:ext cx="3047365" cy="3104515"/>
                    </a:xfrm>
                    <a:prstGeom prst="rect"/>
                  </pic:spPr>
                </pic:pic>
              </a:graphicData>
            </a:graphic>
          </wp:inline>
        </w:drawing>
      </w:r>
    </w:p>
    <w:bookmarkStart w:id="11" w:name="_Toc498187295"/>
    <w:p>
      <w:pPr>
        <w:pStyle w:val="style34"/>
        <w:rPr/>
      </w:pPr>
      <w:r>
        <w:t xml:space="preserve">Figure </w:t>
      </w:r>
      <w:r>
        <w:rPr/>
        <w:fldChar w:fldCharType="begin"/>
      </w:r>
      <w:r>
        <w:instrText xml:space="preserve"> STYLEREF 1 \s </w:instrText>
      </w:r>
      <w:r>
        <w:rPr/>
        <w:fldChar w:fldCharType="separate"/>
      </w:r>
      <w:r>
        <w:rPr>
          <w:noProof/>
        </w:rPr>
        <w:t>1</w:t>
      </w:r>
      <w:r>
        <w:rPr/>
        <w:fldChar w:fldCharType="end"/>
      </w:r>
      <w:r>
        <w:noBreakHyphen/>
      </w:r>
      <w:r>
        <w:rPr/>
        <w:fldChar w:fldCharType="begin"/>
      </w:r>
      <w:r>
        <w:instrText xml:space="preserve"> SEQ Figure \* ARABIC \s 1 </w:instrText>
      </w:r>
      <w:r>
        <w:rPr/>
        <w:fldChar w:fldCharType="separate"/>
      </w:r>
      <w:r>
        <w:rPr>
          <w:noProof/>
        </w:rPr>
        <w:t>13</w:t>
      </w:r>
      <w:r>
        <w:rPr/>
        <w:fldChar w:fldCharType="end"/>
      </w:r>
      <w:r>
        <w:t xml:space="preserve">: </w:t>
      </w:r>
      <w:r>
        <w:t>Imix</w:t>
      </w:r>
      <w:r>
        <w:t>/</w:t>
      </w:r>
      <w:r>
        <w:t xml:space="preserve">Ioil </w:t>
      </w:r>
      <w:r>
        <w:t>Ratios Plotted Versus Detector Position for Stratified Flow Phantoms.</w:t>
      </w:r>
      <w:bookmarkEnd w:id="11"/>
    </w:p>
    <w:p>
      <w:pPr>
        <w:pStyle w:val="style34"/>
        <w:ind w:firstLine="720"/>
        <w:rPr>
          <w:b w:val="false"/>
        </w:rPr>
      </w:pPr>
      <w:r>
        <w:rPr>
          <w:b w:val="false"/>
        </w:rPr>
        <w:t>Since the Igas/Ioil ratio is fixed for a given gamma-ray densitometer, the deviations between the real and measured void fraction must be found in the Imix/Ioil ratios. Figs.</w:t>
      </w:r>
      <w:r>
        <w:rPr>
          <w:b w:val="false"/>
        </w:rPr>
        <w:t>1-</w:t>
      </w:r>
      <w:r>
        <w:rPr>
          <w:b w:val="false"/>
        </w:rPr>
        <w:t xml:space="preserve">12 and </w:t>
      </w:r>
      <w:r>
        <w:rPr>
          <w:b w:val="false"/>
        </w:rPr>
        <w:t>1-</w:t>
      </w:r>
      <w:r>
        <w:rPr>
          <w:b w:val="false"/>
        </w:rPr>
        <w:t>13 plot the Imix/Ioil ratios for all the phantoms. The ratios are found by counting the number of events with constant measurement time in the full energy peak. By comparing Figs.</w:t>
      </w:r>
      <w:r>
        <w:rPr>
          <w:b w:val="false"/>
        </w:rPr>
        <w:t>1-</w:t>
      </w:r>
      <w:r>
        <w:rPr>
          <w:b w:val="false"/>
        </w:rPr>
        <w:t xml:space="preserve">12 and </w:t>
      </w:r>
      <w:r>
        <w:rPr>
          <w:b w:val="false"/>
        </w:rPr>
        <w:t>1-</w:t>
      </w:r>
      <w:r>
        <w:rPr>
          <w:b w:val="false"/>
        </w:rPr>
        <w:t>13 it can be seen that the</w:t>
      </w:r>
      <w:r>
        <w:rPr>
          <w:b w:val="false"/>
        </w:rPr>
        <w:t xml:space="preserve"> </w:t>
      </w:r>
      <w:r>
        <w:rPr>
          <w:b w:val="false"/>
        </w:rPr>
        <w:t>Imix/Ioil ratios are 1.3–1.4 for stratified flow phantoms and are close to 1 for the annular flow phantoms at the detector position of 124</w:t>
      </w:r>
      <w:r>
        <w:rPr>
          <w:b w:val="false"/>
        </w:rPr>
        <w:t>. This means that at this detector position, the system will only be sensitive to the stratified flow phantoms. It can also be seen that the Imix/Ioil ratios of stratified flow phantoms are flat over the detector positions covered by the beam. This is due to the fact that the transmitted beam has a shorter path through the stratified phantoms at angles smaller than 180</w:t>
      </w:r>
      <w:r>
        <w:rPr>
          <w:b w:val="false"/>
        </w:rPr>
        <w:t>, com- pared with its path through annular flow phantoms. This suggests that the Imix/Ioil ratios of two detectors located in the beam could be used to detect whether the flow regime is stratified or not. It should be noted that the value of Imix/Ioil ratios versus detector position depends on the distribution of the photon emission from the source.</w:t>
      </w:r>
    </w:p>
    <w:p>
      <w:pPr>
        <w:pStyle w:val="style34"/>
        <w:rPr>
          <w:b w:val="false"/>
        </w:rPr>
      </w:pPr>
      <w:r>
        <w:rPr>
          <w:b w:val="false"/>
        </w:rPr>
        <w:t>Using the data shown in Figs.</w:t>
      </w:r>
      <w:r>
        <w:rPr>
          <w:b w:val="false"/>
        </w:rPr>
        <w:t>1-</w:t>
      </w:r>
      <w:r>
        <w:rPr>
          <w:b w:val="false"/>
        </w:rPr>
        <w:t>12 and</w:t>
      </w:r>
      <w:r>
        <w:rPr>
          <w:b w:val="false"/>
        </w:rPr>
        <w:t>1-</w:t>
      </w:r>
      <w:r>
        <w:rPr>
          <w:b w:val="false"/>
        </w:rPr>
        <w:t>13, the void fraction can be calculated according to Eq. (</w:t>
      </w:r>
      <w:r>
        <w:rPr>
          <w:b w:val="false"/>
        </w:rPr>
        <w:t>1-</w:t>
      </w:r>
      <w:r>
        <w:rPr>
          <w:b w:val="false"/>
        </w:rPr>
        <w:t>8). The measured void fractions at 180</w:t>
      </w:r>
      <w:r>
        <w:rPr>
          <w:b w:val="false"/>
        </w:rPr>
        <w:t xml:space="preserve"> appear to be similar to the data obtained by the PMT (Fig. </w:t>
      </w:r>
      <w:r>
        <w:rPr>
          <w:b w:val="false"/>
        </w:rPr>
        <w:t>1-</w:t>
      </w:r>
      <w:r>
        <w:rPr>
          <w:b w:val="false"/>
        </w:rPr>
        <w:t>10). In this position the measured void fractions with stratified flow phantoms are cl</w:t>
      </w:r>
      <w:r>
        <w:rPr>
          <w:b w:val="false"/>
        </w:rPr>
        <w:t>ose to the true void fractions.</w:t>
      </w:r>
      <w:r>
        <w:rPr>
          <w:b w:val="false"/>
        </w:rPr>
        <w:t xml:space="preserve"> </w:t>
      </w:r>
      <w:r>
        <w:rPr>
          <w:b w:val="false"/>
        </w:rPr>
        <w:t>It was discovered experimentally that several detector positions underestimated the void fraction of stratified and annular flow phantoms. By taking these void fractions into account, the dependency of the flow regime can be reduced. The measured void fraction based on the experimental data of stratified and annular flow phantoms from four detector positions were used to calculate the mean value of the void fraction. The mean values of the void fractions were compared to the true void fractions. Based on the detector positions giving the mean void fractions closed to the true void fractions, the detector positions were selected.</w:t>
      </w:r>
    </w:p>
    <w:p>
      <w:pPr>
        <w:pStyle w:val="style34"/>
        <w:ind w:firstLine="720"/>
        <w:rPr>
          <w:b w:val="false"/>
        </w:rPr>
      </w:pPr>
      <w:r>
        <w:rPr>
          <w:b w:val="false"/>
        </w:rPr>
        <w:t>In Fig.</w:t>
      </w:r>
      <w:r>
        <w:rPr>
          <w:b w:val="false"/>
        </w:rPr>
        <w:t>1-</w:t>
      </w:r>
      <w:r>
        <w:rPr>
          <w:b w:val="false"/>
        </w:rPr>
        <w:t>14 the void fractions based on the experimental data obtained using the phantoms are plotted for detector positions at 180</w:t>
      </w:r>
      <w:r>
        <w:rPr>
          <w:b w:val="false"/>
        </w:rPr>
        <w:t>, 140</w:t>
      </w:r>
      <w:r>
        <w:rPr>
          <w:b w:val="false"/>
        </w:rPr>
        <w:t>, 68</w:t>
      </w:r>
      <w:r>
        <w:rPr>
          <w:b w:val="false"/>
        </w:rPr>
        <w:t> and 52</w:t>
      </w:r>
      <w:r>
        <w:rPr>
          <w:b w:val="false"/>
        </w:rPr>
        <w:t>. Only scattered pho- tons are detected in the detector positions at 68</w:t>
      </w:r>
      <w:r>
        <w:rPr>
          <w:b w:val="false"/>
        </w:rPr>
        <w:t> and 52</w:t>
      </w:r>
      <w:r>
        <w:rPr>
          <w:b w:val="false"/>
        </w:rPr>
        <w:t>. At 68</w:t>
      </w:r>
      <w:r>
        <w:rPr>
          <w:b w:val="false"/>
        </w:rPr>
        <w:t> and 52</w:t>
      </w:r>
      <w:r>
        <w:rPr>
          <w:b w:val="false"/>
        </w:rPr>
        <w:t>, however, it can be seen that void fraction measurements of the annular flow phantoms are under- estimated and are closer to the true void fraction than measurements made at 180</w:t>
      </w:r>
      <w:r>
        <w:rPr>
          <w:b w:val="false"/>
        </w:rPr>
        <w:t xml:space="preserve">. It is interesting to note at </w:t>
      </w:r>
      <w:r>
        <w:rPr>
          <w:b w:val="false"/>
        </w:rPr>
        <w:t>68</w:t>
      </w:r>
      <w:r>
        <w:rPr>
          <w:b w:val="false"/>
        </w:rPr>
        <w:t> and 52</w:t>
      </w:r>
      <w:r>
        <w:rPr>
          <w:b w:val="false"/>
        </w:rPr>
        <w:t xml:space="preserve">, the measurements of annular flow phantoms are closer to the true </w:t>
      </w:r>
      <w:r>
        <w:rPr>
          <w:b w:val="false"/>
        </w:rPr>
        <w:t xml:space="preserve">void fraction than measurements of stratified flow phantoms. </w:t>
      </w:r>
      <w:r>
        <w:rPr>
          <w:b w:val="false"/>
        </w:rPr>
        <w:t xml:space="preserve">Fig. </w:t>
      </w:r>
      <w:r>
        <w:rPr>
          <w:b w:val="false"/>
        </w:rPr>
        <w:t>1-</w:t>
      </w:r>
      <w:r>
        <w:rPr>
          <w:b w:val="false"/>
        </w:rPr>
        <w:t xml:space="preserve">14 and Fig. </w:t>
      </w:r>
      <w:r>
        <w:rPr>
          <w:b w:val="false"/>
        </w:rPr>
        <w:t>1-</w:t>
      </w:r>
      <w:r>
        <w:rPr>
          <w:b w:val="false"/>
        </w:rPr>
        <w:t>15 sug</w:t>
      </w:r>
      <w:r>
        <w:rPr>
          <w:b w:val="false"/>
        </w:rPr>
        <w:t>gest that the data are distrib</w:t>
      </w:r>
      <w:r>
        <w:rPr>
          <w:b w:val="false"/>
        </w:rPr>
        <w:t>uted more or less equally around the solid line, which</w:t>
      </w:r>
      <w:r>
        <w:t xml:space="preserve"> </w:t>
      </w:r>
      <w:r>
        <w:rPr>
          <w:b w:val="false"/>
        </w:rPr>
        <w:t>Indicates that there was no deviation between measured and true void fraction.</w:t>
      </w:r>
    </w:p>
    <w:p>
      <w:pPr>
        <w:pStyle w:val="style0"/>
        <w:keepNext/>
        <w:jc w:val="center"/>
        <w:rPr/>
      </w:pPr>
      <w:r>
        <w:rPr>
          <w:noProof/>
          <w:lang w:eastAsia="en-GB"/>
        </w:rPr>
        <w:drawing>
          <wp:inline distT="0" distR="0" distL="0" distB="0">
            <wp:extent cx="3691924" cy="2906876"/>
            <wp:effectExtent l="0" t="0" r="3810" b="8255"/>
            <wp:docPr id="1029" name="Picture 2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22"/>
                    <pic:cNvPicPr/>
                  </pic:nvPicPr>
                  <pic:blipFill>
                    <a:blip r:embed="rId5" cstate="print"/>
                    <a:srcRect l="0" t="0" r="0" b="0"/>
                    <a:stretch/>
                  </pic:blipFill>
                  <pic:spPr>
                    <a:xfrm rot="0">
                      <a:off x="0" y="0"/>
                      <a:ext cx="3691924" cy="2906876"/>
                    </a:xfrm>
                    <a:prstGeom prst="rect"/>
                    <a:ln>
                      <a:noFill/>
                    </a:ln>
                  </pic:spPr>
                </pic:pic>
              </a:graphicData>
            </a:graphic>
          </wp:inline>
        </w:drawing>
      </w:r>
    </w:p>
    <w:bookmarkStart w:id="12" w:name="_Toc498187296"/>
    <w:p>
      <w:pPr>
        <w:pStyle w:val="style34"/>
        <w:rPr/>
      </w:pPr>
      <w:r>
        <w:t xml:space="preserve">Figure </w:t>
      </w:r>
      <w:r>
        <w:rPr/>
        <w:fldChar w:fldCharType="begin"/>
      </w:r>
      <w:r>
        <w:instrText xml:space="preserve"> STYLEREF 1 \s </w:instrText>
      </w:r>
      <w:r>
        <w:rPr/>
        <w:fldChar w:fldCharType="separate"/>
      </w:r>
      <w:r>
        <w:rPr>
          <w:noProof/>
        </w:rPr>
        <w:t>1</w:t>
      </w:r>
      <w:r>
        <w:rPr/>
        <w:fldChar w:fldCharType="end"/>
      </w:r>
      <w:r>
        <w:noBreakHyphen/>
      </w:r>
      <w:r>
        <w:rPr/>
        <w:fldChar w:fldCharType="begin"/>
      </w:r>
      <w:r>
        <w:instrText xml:space="preserve"> SEQ Figure \* ARABIC \s 1 </w:instrText>
      </w:r>
      <w:r>
        <w:rPr/>
        <w:fldChar w:fldCharType="separate"/>
      </w:r>
      <w:r>
        <w:rPr>
          <w:noProof/>
        </w:rPr>
        <w:t>14</w:t>
      </w:r>
      <w:r>
        <w:rPr/>
        <w:fldChar w:fldCharType="end"/>
      </w:r>
      <w:r>
        <w:t xml:space="preserve">: Measured Void Fraction </w:t>
      </w:r>
      <w:r>
        <w:t>versus</w:t>
      </w:r>
      <w:r>
        <w:t xml:space="preserve"> True Void Fraction </w:t>
      </w:r>
      <w:r>
        <w:t>of</w:t>
      </w:r>
      <w:r>
        <w:t xml:space="preserve"> </w:t>
      </w:r>
      <w:r>
        <w:t>the</w:t>
      </w:r>
      <w:r>
        <w:t xml:space="preserve"> Annular Phantoms </w:t>
      </w:r>
      <w:r>
        <w:t>at</w:t>
      </w:r>
      <w:r>
        <w:t xml:space="preserve"> Several Detector Positions. </w:t>
      </w:r>
      <w:r>
        <w:t xml:space="preserve">The </w:t>
      </w:r>
      <w:r>
        <w:t xml:space="preserve">Solid Line Represents The Ideal Case With No Deviation Between True And Measured Void Fractions. </w:t>
      </w:r>
      <w:r>
        <w:t xml:space="preserve">The </w:t>
      </w:r>
      <w:r>
        <w:t>Dashed Line Is The Best Curve Fit Of The Mean Values.</w:t>
      </w:r>
      <w:bookmarkEnd w:id="12"/>
    </w:p>
    <w:p>
      <w:pPr>
        <w:pStyle w:val="style0"/>
        <w:keepNext/>
        <w:jc w:val="center"/>
        <w:rPr/>
      </w:pPr>
      <w:r>
        <w:rPr>
          <w:noProof/>
          <w:lang w:eastAsia="en-GB"/>
        </w:rPr>
        <w:drawing>
          <wp:inline distT="0" distR="0" distL="0" distB="0">
            <wp:extent cx="3047365" cy="3256914"/>
            <wp:effectExtent l="0" t="0" r="635" b="635"/>
            <wp:docPr id="1030" name="Picture 2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23"/>
                    <pic:cNvPicPr/>
                  </pic:nvPicPr>
                  <pic:blipFill>
                    <a:blip r:embed="rId6" cstate="print"/>
                    <a:srcRect l="0" t="0" r="0" b="0"/>
                    <a:stretch/>
                  </pic:blipFill>
                  <pic:spPr>
                    <a:xfrm rot="0">
                      <a:off x="0" y="0"/>
                      <a:ext cx="3047365" cy="3256914"/>
                    </a:xfrm>
                    <a:prstGeom prst="rect"/>
                  </pic:spPr>
                </pic:pic>
              </a:graphicData>
            </a:graphic>
          </wp:inline>
        </w:drawing>
      </w:r>
    </w:p>
    <w:bookmarkStart w:id="13" w:name="_Toc498187297"/>
    <w:p>
      <w:pPr>
        <w:pStyle w:val="style34"/>
        <w:rPr/>
      </w:pPr>
      <w:r>
        <w:t xml:space="preserve">Figure </w:t>
      </w:r>
      <w:r>
        <w:rPr/>
        <w:fldChar w:fldCharType="begin"/>
      </w:r>
      <w:r>
        <w:instrText xml:space="preserve"> STYLEREF 1 \s </w:instrText>
      </w:r>
      <w:r>
        <w:rPr/>
        <w:fldChar w:fldCharType="separate"/>
      </w:r>
      <w:r>
        <w:rPr>
          <w:noProof/>
        </w:rPr>
        <w:t>1</w:t>
      </w:r>
      <w:r>
        <w:rPr/>
        <w:fldChar w:fldCharType="end"/>
      </w:r>
      <w:r>
        <w:noBreakHyphen/>
      </w:r>
      <w:r>
        <w:rPr/>
        <w:fldChar w:fldCharType="begin"/>
      </w:r>
      <w:r>
        <w:instrText xml:space="preserve"> SEQ Figure \* ARABIC \s 1 </w:instrText>
      </w:r>
      <w:r>
        <w:rPr/>
        <w:fldChar w:fldCharType="separate"/>
      </w:r>
      <w:r>
        <w:rPr>
          <w:noProof/>
        </w:rPr>
        <w:t>15</w:t>
      </w:r>
      <w:r>
        <w:rPr/>
        <w:fldChar w:fldCharType="end"/>
      </w:r>
      <w:r>
        <w:t xml:space="preserve">: Measured Void Fraction </w:t>
      </w:r>
      <w:r>
        <w:t>versus</w:t>
      </w:r>
      <w:r>
        <w:t xml:space="preserve"> True Void Fraction Of The Stratified Phantoms At Several Detector Positions. </w:t>
      </w:r>
      <w:r>
        <w:t xml:space="preserve">The </w:t>
      </w:r>
      <w:r>
        <w:t xml:space="preserve">Solid Line Represents The Ideal Case With </w:t>
      </w:r>
      <w:r>
        <w:t xml:space="preserve">No Deviation Between True And Measured Void Fractions. </w:t>
      </w:r>
      <w:r>
        <w:t xml:space="preserve">The </w:t>
      </w:r>
      <w:r>
        <w:t xml:space="preserve">Dashed Line Is </w:t>
      </w:r>
      <w:r>
        <w:t>the</w:t>
      </w:r>
      <w:r>
        <w:t xml:space="preserve"> Best Curve Fit Of The</w:t>
      </w:r>
      <w:bookmarkEnd w:id="13"/>
    </w:p>
    <w:p>
      <w:pPr>
        <w:pStyle w:val="style0"/>
        <w:ind w:firstLine="720"/>
        <w:rPr>
          <w:lang w:val="en-US"/>
        </w:rPr>
      </w:pPr>
      <w:r>
        <w:t>This</w:t>
      </w:r>
      <w:r>
        <w:rPr>
          <w:spacing w:val="29"/>
        </w:rPr>
        <w:t xml:space="preserve"> </w:t>
      </w:r>
      <w:r>
        <w:t>means</w:t>
      </w:r>
      <w:r>
        <w:rPr>
          <w:spacing w:val="27"/>
        </w:rPr>
        <w:t xml:space="preserve"> </w:t>
      </w:r>
      <w:r>
        <w:t>the</w:t>
      </w:r>
      <w:r>
        <w:rPr>
          <w:spacing w:val="28"/>
        </w:rPr>
        <w:t xml:space="preserve"> </w:t>
      </w:r>
      <w:r>
        <w:t>mean</w:t>
      </w:r>
      <w:r>
        <w:rPr>
          <w:spacing w:val="26"/>
        </w:rPr>
        <w:t xml:space="preserve"> </w:t>
      </w:r>
      <w:r>
        <w:t>values</w:t>
      </w:r>
      <w:r>
        <w:rPr>
          <w:spacing w:val="27"/>
        </w:rPr>
        <w:t xml:space="preserve"> </w:t>
      </w:r>
      <w:r>
        <w:t>of the</w:t>
      </w:r>
      <w:r>
        <w:rPr>
          <w:spacing w:val="6"/>
        </w:rPr>
        <w:t xml:space="preserve"> </w:t>
      </w:r>
      <w:r>
        <w:t>measured</w:t>
      </w:r>
      <w:r>
        <w:rPr>
          <w:spacing w:val="-2"/>
        </w:rPr>
        <w:t xml:space="preserve"> </w:t>
      </w:r>
      <w:r>
        <w:t>void</w:t>
      </w:r>
      <w:r>
        <w:rPr>
          <w:spacing w:val="4"/>
        </w:rPr>
        <w:t xml:space="preserve"> </w:t>
      </w:r>
      <w:r>
        <w:t>fractions</w:t>
      </w:r>
      <w:r>
        <w:rPr>
          <w:spacing w:val="1"/>
        </w:rPr>
        <w:t xml:space="preserve"> </w:t>
      </w:r>
      <w:r>
        <w:t>of</w:t>
      </w:r>
      <w:r>
        <w:rPr>
          <w:spacing w:val="4"/>
        </w:rPr>
        <w:t xml:space="preserve"> </w:t>
      </w:r>
      <w:r>
        <w:t>the</w:t>
      </w:r>
      <w:r>
        <w:rPr>
          <w:spacing w:val="6"/>
        </w:rPr>
        <w:t xml:space="preserve"> </w:t>
      </w:r>
      <w:r>
        <w:t>selected detector positions</w:t>
      </w:r>
      <w:r>
        <w:rPr>
          <w:spacing w:val="5"/>
        </w:rPr>
        <w:t xml:space="preserve"> </w:t>
      </w:r>
      <w:r>
        <w:t>are</w:t>
      </w:r>
      <w:r>
        <w:rPr>
          <w:spacing w:val="5"/>
        </w:rPr>
        <w:t xml:space="preserve"> </w:t>
      </w:r>
      <w:r>
        <w:t>close</w:t>
      </w:r>
      <w:r>
        <w:rPr>
          <w:spacing w:val="3"/>
        </w:rPr>
        <w:t xml:space="preserve"> </w:t>
      </w:r>
      <w:r>
        <w:t>to</w:t>
      </w:r>
      <w:r>
        <w:rPr>
          <w:spacing w:val="8"/>
        </w:rPr>
        <w:t xml:space="preserve"> </w:t>
      </w:r>
      <w:r>
        <w:t>the</w:t>
      </w:r>
      <w:r>
        <w:rPr>
          <w:spacing w:val="5"/>
        </w:rPr>
        <w:t xml:space="preserve"> </w:t>
      </w:r>
      <w:r>
        <w:t>true</w:t>
      </w:r>
      <w:r>
        <w:rPr>
          <w:spacing w:val="7"/>
        </w:rPr>
        <w:t xml:space="preserve"> </w:t>
      </w:r>
      <w:r>
        <w:t>void</w:t>
      </w:r>
      <w:r>
        <w:rPr>
          <w:spacing w:val="3"/>
        </w:rPr>
        <w:t xml:space="preserve"> </w:t>
      </w:r>
      <w:r>
        <w:t>fractions. A</w:t>
      </w:r>
      <w:r>
        <w:rPr>
          <w:spacing w:val="7"/>
        </w:rPr>
        <w:t xml:space="preserve"> </w:t>
      </w:r>
      <w:r>
        <w:t>curve</w:t>
      </w:r>
      <w:r>
        <w:rPr>
          <w:spacing w:val="3"/>
        </w:rPr>
        <w:t xml:space="preserve"> </w:t>
      </w:r>
      <w:r>
        <w:t>fitting of</w:t>
      </w:r>
      <w:r>
        <w:rPr>
          <w:spacing w:val="6"/>
        </w:rPr>
        <w:t xml:space="preserve"> </w:t>
      </w:r>
      <w:r>
        <w:t>the</w:t>
      </w:r>
      <w:r>
        <w:rPr>
          <w:spacing w:val="5"/>
        </w:rPr>
        <w:t xml:space="preserve"> </w:t>
      </w:r>
      <w:r>
        <w:t>mean</w:t>
      </w:r>
      <w:r>
        <w:rPr>
          <w:spacing w:val="1"/>
        </w:rPr>
        <w:t xml:space="preserve"> </w:t>
      </w:r>
      <w:r>
        <w:t>values</w:t>
      </w:r>
      <w:r>
        <w:rPr>
          <w:spacing w:val="2"/>
        </w:rPr>
        <w:t xml:space="preserve"> </w:t>
      </w:r>
      <w:r>
        <w:t>gives a</w:t>
      </w:r>
      <w:r>
        <w:rPr>
          <w:spacing w:val="6"/>
        </w:rPr>
        <w:t xml:space="preserve"> </w:t>
      </w:r>
      <w:r>
        <w:t>curve</w:t>
      </w:r>
      <w:r>
        <w:rPr>
          <w:spacing w:val="1"/>
        </w:rPr>
        <w:t xml:space="preserve"> </w:t>
      </w:r>
      <w:r>
        <w:t>very</w:t>
      </w:r>
      <w:r>
        <w:rPr>
          <w:spacing w:val="4"/>
        </w:rPr>
        <w:t xml:space="preserve"> </w:t>
      </w:r>
      <w:r>
        <w:t>close</w:t>
      </w:r>
      <w:r>
        <w:rPr>
          <w:spacing w:val="2"/>
        </w:rPr>
        <w:t xml:space="preserve"> </w:t>
      </w:r>
      <w:r>
        <w:t>to</w:t>
      </w:r>
      <w:r>
        <w:rPr>
          <w:spacing w:val="3"/>
        </w:rPr>
        <w:t xml:space="preserve"> </w:t>
      </w:r>
      <w:r>
        <w:t>the</w:t>
      </w:r>
      <w:r>
        <w:rPr>
          <w:spacing w:val="5"/>
        </w:rPr>
        <w:t xml:space="preserve"> </w:t>
      </w:r>
      <w:r>
        <w:t>true void</w:t>
      </w:r>
      <w:r>
        <w:rPr>
          <w:spacing w:val="6"/>
        </w:rPr>
        <w:t xml:space="preserve"> </w:t>
      </w:r>
      <w:r>
        <w:t>fraction</w:t>
      </w:r>
      <w:r>
        <w:rPr>
          <w:spacing w:val="1"/>
        </w:rPr>
        <w:t xml:space="preserve"> </w:t>
      </w:r>
      <w:r>
        <w:t>of</w:t>
      </w:r>
      <w:r>
        <w:rPr>
          <w:spacing w:val="7"/>
        </w:rPr>
        <w:t xml:space="preserve"> </w:t>
      </w:r>
      <w:r>
        <w:t>the</w:t>
      </w:r>
      <w:r>
        <w:rPr>
          <w:spacing w:val="8"/>
        </w:rPr>
        <w:t xml:space="preserve"> </w:t>
      </w:r>
      <w:r>
        <w:t>phantoms, as</w:t>
      </w:r>
      <w:r>
        <w:rPr>
          <w:spacing w:val="7"/>
        </w:rPr>
        <w:t xml:space="preserve"> </w:t>
      </w:r>
      <w:r>
        <w:t>shown</w:t>
      </w:r>
      <w:r>
        <w:rPr>
          <w:spacing w:val="3"/>
        </w:rPr>
        <w:t xml:space="preserve"> </w:t>
      </w:r>
      <w:r>
        <w:t>in</w:t>
      </w:r>
      <w:r>
        <w:rPr>
          <w:spacing w:val="6"/>
        </w:rPr>
        <w:t xml:space="preserve"> </w:t>
      </w:r>
      <w:r>
        <w:t>Fig.</w:t>
      </w:r>
      <w:r>
        <w:rPr>
          <w:spacing w:val="6"/>
        </w:rPr>
        <w:t xml:space="preserve"> </w:t>
      </w:r>
      <w:r>
        <w:rPr>
          <w:spacing w:val="6"/>
        </w:rPr>
        <w:t>1-</w:t>
      </w:r>
      <w:r>
        <w:t>14</w:t>
      </w:r>
      <w:r>
        <w:rPr>
          <w:spacing w:val="5"/>
        </w:rPr>
        <w:t xml:space="preserve"> </w:t>
      </w:r>
      <w:r>
        <w:t>and Fig.</w:t>
      </w:r>
      <w:r>
        <w:t>1-</w:t>
      </w:r>
      <w:r>
        <w:t>15.</w:t>
      </w:r>
      <w:r>
        <w:rPr>
          <w:lang w:val="en-US"/>
        </w:rPr>
        <w:t xml:space="preserve"> </w:t>
      </w:r>
      <w:r>
        <w:t>Around</w:t>
      </w:r>
      <w:r>
        <w:rPr>
          <w:spacing w:val="25"/>
        </w:rPr>
        <w:t xml:space="preserve"> </w:t>
      </w:r>
      <w:r>
        <w:t>the</w:t>
      </w:r>
      <w:r>
        <w:rPr>
          <w:spacing w:val="30"/>
        </w:rPr>
        <w:t xml:space="preserve"> </w:t>
      </w:r>
      <w:r>
        <w:t>pipe,</w:t>
      </w:r>
      <w:r>
        <w:rPr>
          <w:spacing w:val="28"/>
        </w:rPr>
        <w:t xml:space="preserve"> </w:t>
      </w:r>
      <w:r>
        <w:t>the</w:t>
      </w:r>
      <w:r>
        <w:rPr>
          <w:spacing w:val="28"/>
        </w:rPr>
        <w:t xml:space="preserve"> </w:t>
      </w:r>
      <w:r>
        <w:t>minimum</w:t>
      </w:r>
      <w:r>
        <w:rPr>
          <w:spacing w:val="22"/>
        </w:rPr>
        <w:t xml:space="preserve"> </w:t>
      </w:r>
      <w:r>
        <w:t>number</w:t>
      </w:r>
      <w:r>
        <w:rPr>
          <w:spacing w:val="27"/>
        </w:rPr>
        <w:t xml:space="preserve"> </w:t>
      </w:r>
      <w:r>
        <w:t>of</w:t>
      </w:r>
      <w:r>
        <w:rPr>
          <w:spacing w:val="29"/>
        </w:rPr>
        <w:t xml:space="preserve"> </w:t>
      </w:r>
      <w:r>
        <w:t>counts</w:t>
      </w:r>
      <w:r>
        <w:rPr>
          <w:spacing w:val="25"/>
        </w:rPr>
        <w:t xml:space="preserve"> </w:t>
      </w:r>
      <w:r>
        <w:t>in the</w:t>
      </w:r>
      <w:r>
        <w:rPr>
          <w:spacing w:val="6"/>
        </w:rPr>
        <w:t xml:space="preserve"> </w:t>
      </w:r>
      <w:r>
        <w:t>full</w:t>
      </w:r>
      <w:r>
        <w:rPr>
          <w:spacing w:val="5"/>
        </w:rPr>
        <w:t xml:space="preserve"> </w:t>
      </w:r>
      <w:r>
        <w:t>energy</w:t>
      </w:r>
      <w:r>
        <w:rPr>
          <w:spacing w:val="2"/>
        </w:rPr>
        <w:t xml:space="preserve"> </w:t>
      </w:r>
      <w:r>
        <w:t>peak</w:t>
      </w:r>
      <w:r>
        <w:rPr>
          <w:spacing w:val="3"/>
        </w:rPr>
        <w:t xml:space="preserve"> </w:t>
      </w:r>
      <w:r>
        <w:t>will</w:t>
      </w:r>
      <w:r>
        <w:rPr>
          <w:spacing w:val="5"/>
        </w:rPr>
        <w:t xml:space="preserve"> </w:t>
      </w:r>
      <w:r>
        <w:t>be</w:t>
      </w:r>
      <w:r>
        <w:rPr>
          <w:spacing w:val="6"/>
        </w:rPr>
        <w:t xml:space="preserve"> </w:t>
      </w:r>
      <w:r>
        <w:t>at</w:t>
      </w:r>
      <w:r>
        <w:rPr>
          <w:spacing w:val="6"/>
        </w:rPr>
        <w:t xml:space="preserve"> </w:t>
      </w:r>
      <w:r>
        <w:t>detector positions</w:t>
      </w:r>
      <w:r>
        <w:rPr>
          <w:spacing w:val="1"/>
        </w:rPr>
        <w:t xml:space="preserve"> </w:t>
      </w:r>
      <w:r>
        <w:t>outside the</w:t>
      </w:r>
      <w:r>
        <w:rPr>
          <w:spacing w:val="40"/>
        </w:rPr>
        <w:t xml:space="preserve"> </w:t>
      </w:r>
      <w:r>
        <w:t>beam</w:t>
      </w:r>
      <w:r>
        <w:rPr>
          <w:spacing w:val="33"/>
        </w:rPr>
        <w:t xml:space="preserve"> </w:t>
      </w:r>
      <w:r>
        <w:t>and</w:t>
      </w:r>
      <w:r>
        <w:rPr>
          <w:spacing w:val="38"/>
        </w:rPr>
        <w:t xml:space="preserve"> </w:t>
      </w:r>
      <w:r>
        <w:t>when</w:t>
      </w:r>
      <w:r>
        <w:rPr>
          <w:spacing w:val="38"/>
        </w:rPr>
        <w:t xml:space="preserve"> </w:t>
      </w:r>
      <w:r>
        <w:t>the</w:t>
      </w:r>
      <w:r>
        <w:rPr>
          <w:spacing w:val="35"/>
        </w:rPr>
        <w:t xml:space="preserve"> </w:t>
      </w:r>
      <w:r>
        <w:t>void</w:t>
      </w:r>
      <w:r>
        <w:rPr>
          <w:spacing w:val="38"/>
        </w:rPr>
        <w:t xml:space="preserve"> </w:t>
      </w:r>
      <w:r>
        <w:t>fraction</w:t>
      </w:r>
      <w:r>
        <w:rPr>
          <w:spacing w:val="35"/>
        </w:rPr>
        <w:t xml:space="preserve"> </w:t>
      </w:r>
      <w:r>
        <w:t>is</w:t>
      </w:r>
      <w:r>
        <w:rPr>
          <w:spacing w:val="37"/>
        </w:rPr>
        <w:t xml:space="preserve"> </w:t>
      </w:r>
      <w:r>
        <w:t>1,</w:t>
      </w:r>
      <w:r>
        <w:rPr>
          <w:spacing w:val="39"/>
        </w:rPr>
        <w:t xml:space="preserve"> </w:t>
      </w:r>
      <w:r>
        <w:t>due</w:t>
      </w:r>
      <w:r>
        <w:rPr>
          <w:spacing w:val="36"/>
        </w:rPr>
        <w:t xml:space="preserve"> </w:t>
      </w:r>
      <w:r>
        <w:t>to</w:t>
      </w:r>
      <w:r>
        <w:rPr>
          <w:spacing w:val="40"/>
        </w:rPr>
        <w:t xml:space="preserve"> </w:t>
      </w:r>
      <w:r>
        <w:t>the low</w:t>
      </w:r>
      <w:r>
        <w:rPr>
          <w:spacing w:val="1"/>
        </w:rPr>
        <w:t xml:space="preserve"> </w:t>
      </w:r>
      <w:r>
        <w:t>probability</w:t>
      </w:r>
      <w:r>
        <w:rPr>
          <w:spacing w:val="-4"/>
        </w:rPr>
        <w:t xml:space="preserve"> </w:t>
      </w:r>
      <w:r>
        <w:t>of</w:t>
      </w:r>
      <w:r>
        <w:rPr>
          <w:spacing w:val="-3"/>
        </w:rPr>
        <w:t xml:space="preserve"> </w:t>
      </w:r>
      <w:r>
        <w:t>interaction</w:t>
      </w:r>
      <w:r>
        <w:rPr>
          <w:spacing w:val="-5"/>
        </w:rPr>
        <w:t xml:space="preserve"> </w:t>
      </w:r>
      <w:r>
        <w:t>in</w:t>
      </w:r>
      <w:r>
        <w:rPr>
          <w:spacing w:val="1"/>
        </w:rPr>
        <w:t xml:space="preserve"> </w:t>
      </w:r>
      <w:r>
        <w:t>gas. The</w:t>
      </w:r>
      <w:r>
        <w:rPr>
          <w:spacing w:val="-1"/>
        </w:rPr>
        <w:t xml:space="preserve"> </w:t>
      </w:r>
      <w:r>
        <w:t>most</w:t>
      </w:r>
      <w:r>
        <w:rPr>
          <w:spacing w:val="-2"/>
        </w:rPr>
        <w:t xml:space="preserve"> </w:t>
      </w:r>
      <w:r>
        <w:t>important contribution</w:t>
      </w:r>
      <w:r>
        <w:rPr>
          <w:spacing w:val="1"/>
        </w:rPr>
        <w:t xml:space="preserve"> </w:t>
      </w:r>
      <w:r>
        <w:t>to</w:t>
      </w:r>
      <w:r>
        <w:rPr>
          <w:spacing w:val="8"/>
        </w:rPr>
        <w:t xml:space="preserve"> </w:t>
      </w:r>
      <w:r>
        <w:t>the</w:t>
      </w:r>
      <w:r>
        <w:rPr>
          <w:spacing w:val="8"/>
        </w:rPr>
        <w:t xml:space="preserve"> </w:t>
      </w:r>
      <w:r>
        <w:t>total</w:t>
      </w:r>
      <w:r>
        <w:rPr>
          <w:spacing w:val="6"/>
        </w:rPr>
        <w:t xml:space="preserve"> </w:t>
      </w:r>
      <w:r>
        <w:t>statistical error</w:t>
      </w:r>
      <w:r>
        <w:rPr>
          <w:spacing w:val="5"/>
        </w:rPr>
        <w:t xml:space="preserve"> </w:t>
      </w:r>
      <w:r>
        <w:t>of</w:t>
      </w:r>
      <w:r>
        <w:rPr>
          <w:spacing w:val="9"/>
        </w:rPr>
        <w:t xml:space="preserve"> </w:t>
      </w:r>
      <w:r>
        <w:t>the</w:t>
      </w:r>
      <w:r>
        <w:rPr>
          <w:spacing w:val="6"/>
        </w:rPr>
        <w:t xml:space="preserve"> </w:t>
      </w:r>
      <w:r>
        <w:t>measured void</w:t>
      </w:r>
      <w:r>
        <w:rPr>
          <w:spacing w:val="8"/>
        </w:rPr>
        <w:t xml:space="preserve"> </w:t>
      </w:r>
      <w:r>
        <w:t>fraction</w:t>
      </w:r>
      <w:r>
        <w:rPr>
          <w:spacing w:val="1"/>
        </w:rPr>
        <w:t xml:space="preserve"> </w:t>
      </w:r>
      <w:r>
        <w:t>is</w:t>
      </w:r>
      <w:r>
        <w:rPr>
          <w:spacing w:val="7"/>
        </w:rPr>
        <w:t xml:space="preserve"> </w:t>
      </w:r>
      <w:r>
        <w:t>made</w:t>
      </w:r>
      <w:r>
        <w:rPr>
          <w:spacing w:val="3"/>
        </w:rPr>
        <w:t xml:space="preserve"> </w:t>
      </w:r>
      <w:r>
        <w:t>by</w:t>
      </w:r>
      <w:r>
        <w:rPr>
          <w:spacing w:val="9"/>
        </w:rPr>
        <w:t xml:space="preserve"> </w:t>
      </w:r>
      <w:r>
        <w:t>positions with</w:t>
      </w:r>
      <w:r>
        <w:rPr>
          <w:spacing w:val="6"/>
        </w:rPr>
        <w:t xml:space="preserve"> </w:t>
      </w:r>
      <w:r>
        <w:t>the</w:t>
      </w:r>
      <w:r>
        <w:rPr>
          <w:spacing w:val="5"/>
        </w:rPr>
        <w:t xml:space="preserve"> </w:t>
      </w:r>
      <w:r>
        <w:t>lowest</w:t>
      </w:r>
      <w:r>
        <w:rPr>
          <w:spacing w:val="3"/>
        </w:rPr>
        <w:t xml:space="preserve"> </w:t>
      </w:r>
      <w:r>
        <w:t>number</w:t>
      </w:r>
      <w:r>
        <w:rPr>
          <w:spacing w:val="2"/>
        </w:rPr>
        <w:t xml:space="preserve"> </w:t>
      </w:r>
      <w:r>
        <w:t>of</w:t>
      </w:r>
      <w:r>
        <w:rPr>
          <w:spacing w:val="2"/>
        </w:rPr>
        <w:t xml:space="preserve"> </w:t>
      </w:r>
      <w:r>
        <w:t>counts.</w:t>
      </w:r>
      <w:r>
        <w:rPr>
          <w:spacing w:val="-3"/>
        </w:rPr>
        <w:t xml:space="preserve"> </w:t>
      </w:r>
      <w:r>
        <w:t>The</w:t>
      </w:r>
      <w:r>
        <w:rPr>
          <w:spacing w:val="-1"/>
        </w:rPr>
        <w:t xml:space="preserve"> </w:t>
      </w:r>
      <w:r>
        <w:t>relative</w:t>
      </w:r>
      <w:r>
        <w:rPr>
          <w:spacing w:val="-1"/>
        </w:rPr>
        <w:t xml:space="preserve"> </w:t>
      </w:r>
      <w:r>
        <w:t>standard</w:t>
      </w:r>
      <w:r>
        <w:rPr>
          <w:spacing w:val="-4"/>
        </w:rPr>
        <w:t xml:space="preserve"> </w:t>
      </w:r>
      <w:r>
        <w:t>deviations</w:t>
      </w:r>
      <w:r>
        <w:rPr>
          <w:spacing w:val="-6"/>
        </w:rPr>
        <w:t xml:space="preserve"> </w:t>
      </w:r>
      <w:r>
        <w:t>due to</w:t>
      </w:r>
      <w:r>
        <w:rPr>
          <w:spacing w:val="1"/>
        </w:rPr>
        <w:t xml:space="preserve"> </w:t>
      </w:r>
      <w:r>
        <w:t>the number</w:t>
      </w:r>
      <w:r>
        <w:rPr>
          <w:spacing w:val="18"/>
        </w:rPr>
        <w:t xml:space="preserve"> </w:t>
      </w:r>
      <w:r>
        <w:t>of</w:t>
      </w:r>
      <w:r>
        <w:rPr>
          <w:spacing w:val="23"/>
        </w:rPr>
        <w:t xml:space="preserve"> </w:t>
      </w:r>
      <w:r>
        <w:t>counts</w:t>
      </w:r>
      <w:r>
        <w:rPr>
          <w:spacing w:val="18"/>
        </w:rPr>
        <w:t xml:space="preserve"> </w:t>
      </w:r>
      <w:r>
        <w:t>in</w:t>
      </w:r>
      <w:r>
        <w:rPr>
          <w:spacing w:val="23"/>
        </w:rPr>
        <w:t xml:space="preserve"> </w:t>
      </w:r>
      <w:r>
        <w:t>detector</w:t>
      </w:r>
      <w:r>
        <w:rPr>
          <w:spacing w:val="14"/>
        </w:rPr>
        <w:t xml:space="preserve"> </w:t>
      </w:r>
      <w:r>
        <w:t>positions</w:t>
      </w:r>
      <w:r>
        <w:rPr>
          <w:spacing w:val="18"/>
        </w:rPr>
        <w:t xml:space="preserve"> </w:t>
      </w:r>
      <w:r>
        <w:t>52</w:t>
      </w:r>
      <w:r>
        <w:rPr>
          <w:rFonts w:ascii="Symbol" w:cs="Symbol" w:eastAsia="Symbol" w:hAnsi="Symbol"/>
        </w:rPr>
        <w:t></w:t>
      </w:r>
      <w:r>
        <w:rPr>
          <w:spacing w:val="22"/>
        </w:rPr>
        <w:t xml:space="preserve"> </w:t>
      </w:r>
      <w:r>
        <w:t>and</w:t>
      </w:r>
      <w:r>
        <w:rPr>
          <w:spacing w:val="22"/>
        </w:rPr>
        <w:t xml:space="preserve"> </w:t>
      </w:r>
      <w:r>
        <w:t>68</w:t>
      </w:r>
      <w:r>
        <w:rPr>
          <w:rFonts w:ascii="Symbol" w:cs="Symbol" w:eastAsia="Symbol" w:hAnsi="Symbol"/>
        </w:rPr>
        <w:t></w:t>
      </w:r>
      <w:r>
        <w:rPr>
          <w:spacing w:val="19"/>
        </w:rPr>
        <w:t xml:space="preserve"> </w:t>
      </w:r>
      <w:r>
        <w:t>are 0.30%</w:t>
      </w:r>
      <w:r>
        <w:rPr>
          <w:spacing w:val="9"/>
        </w:rPr>
        <w:t xml:space="preserve"> </w:t>
      </w:r>
      <w:r>
        <w:t>and</w:t>
      </w:r>
      <w:r>
        <w:rPr>
          <w:spacing w:val="10"/>
        </w:rPr>
        <w:t xml:space="preserve"> </w:t>
      </w:r>
      <w:r>
        <w:t>0.32%,</w:t>
      </w:r>
      <w:r>
        <w:rPr>
          <w:spacing w:val="7"/>
        </w:rPr>
        <w:t xml:space="preserve"> </w:t>
      </w:r>
      <w:r>
        <w:t>respectively. This</w:t>
      </w:r>
      <w:r>
        <w:rPr>
          <w:spacing w:val="8"/>
        </w:rPr>
        <w:t xml:space="preserve"> </w:t>
      </w:r>
      <w:r>
        <w:t>suggests</w:t>
      </w:r>
      <w:r>
        <w:rPr>
          <w:spacing w:val="7"/>
        </w:rPr>
        <w:t xml:space="preserve"> </w:t>
      </w:r>
      <w:r>
        <w:t>that</w:t>
      </w:r>
      <w:r>
        <w:rPr>
          <w:spacing w:val="9"/>
        </w:rPr>
        <w:t xml:space="preserve"> </w:t>
      </w:r>
      <w:r>
        <w:t>statistical</w:t>
      </w:r>
      <w:r>
        <w:rPr>
          <w:spacing w:val="18"/>
        </w:rPr>
        <w:t xml:space="preserve"> </w:t>
      </w:r>
      <w:r>
        <w:t>fluctuations in</w:t>
      </w:r>
      <w:r>
        <w:rPr>
          <w:spacing w:val="19"/>
        </w:rPr>
        <w:t xml:space="preserve"> </w:t>
      </w:r>
      <w:r>
        <w:t>the</w:t>
      </w:r>
      <w:r>
        <w:rPr>
          <w:spacing w:val="19"/>
        </w:rPr>
        <w:t xml:space="preserve"> </w:t>
      </w:r>
      <w:r>
        <w:t>measured</w:t>
      </w:r>
      <w:r>
        <w:rPr>
          <w:spacing w:val="13"/>
        </w:rPr>
        <w:t xml:space="preserve"> </w:t>
      </w:r>
      <w:r>
        <w:t>void</w:t>
      </w:r>
      <w:r>
        <w:rPr>
          <w:spacing w:val="17"/>
        </w:rPr>
        <w:t xml:space="preserve"> </w:t>
      </w:r>
      <w:r>
        <w:t>fractions</w:t>
      </w:r>
      <w:r>
        <w:rPr>
          <w:spacing w:val="11"/>
        </w:rPr>
        <w:t xml:space="preserve"> </w:t>
      </w:r>
      <w:r>
        <w:t>are negligible,</w:t>
      </w:r>
      <w:r>
        <w:rPr>
          <w:spacing w:val="8"/>
        </w:rPr>
        <w:t xml:space="preserve"> </w:t>
      </w:r>
      <w:r>
        <w:t>and</w:t>
      </w:r>
      <w:r>
        <w:rPr>
          <w:spacing w:val="12"/>
        </w:rPr>
        <w:t xml:space="preserve"> </w:t>
      </w:r>
      <w:r>
        <w:t>that</w:t>
      </w:r>
      <w:r>
        <w:rPr>
          <w:spacing w:val="15"/>
        </w:rPr>
        <w:t xml:space="preserve"> </w:t>
      </w:r>
      <w:r>
        <w:t>the</w:t>
      </w:r>
      <w:r>
        <w:rPr>
          <w:spacing w:val="13"/>
        </w:rPr>
        <w:t xml:space="preserve"> </w:t>
      </w:r>
      <w:r>
        <w:t>distributions</w:t>
      </w:r>
      <w:r>
        <w:rPr>
          <w:spacing w:val="5"/>
        </w:rPr>
        <w:t xml:space="preserve"> </w:t>
      </w:r>
      <w:r>
        <w:t>of</w:t>
      </w:r>
      <w:r>
        <w:rPr>
          <w:spacing w:val="14"/>
        </w:rPr>
        <w:t xml:space="preserve"> </w:t>
      </w:r>
      <w:r>
        <w:t>the</w:t>
      </w:r>
      <w:r>
        <w:rPr>
          <w:spacing w:val="16"/>
        </w:rPr>
        <w:t xml:space="preserve"> </w:t>
      </w:r>
      <w:r>
        <w:t>data</w:t>
      </w:r>
      <w:r>
        <w:rPr>
          <w:spacing w:val="12"/>
        </w:rPr>
        <w:t xml:space="preserve"> </w:t>
      </w:r>
      <w:r>
        <w:t>in</w:t>
      </w:r>
      <w:r>
        <w:rPr>
          <w:spacing w:val="16"/>
        </w:rPr>
        <w:t xml:space="preserve"> </w:t>
      </w:r>
      <w:r>
        <w:t xml:space="preserve">Figs. </w:t>
      </w:r>
      <w:r>
        <w:t>1-</w:t>
      </w:r>
      <w:r>
        <w:t>14</w:t>
      </w:r>
      <w:r>
        <w:rPr>
          <w:spacing w:val="10"/>
        </w:rPr>
        <w:t xml:space="preserve"> </w:t>
      </w:r>
      <w:r>
        <w:t>and</w:t>
      </w:r>
      <w:r>
        <w:rPr>
          <w:spacing w:val="8"/>
        </w:rPr>
        <w:t xml:space="preserve"> </w:t>
      </w:r>
      <w:r>
        <w:rPr>
          <w:spacing w:val="8"/>
        </w:rPr>
        <w:t>1-</w:t>
      </w:r>
      <w:r>
        <w:t>15</w:t>
      </w:r>
      <w:r>
        <w:rPr>
          <w:spacing w:val="8"/>
        </w:rPr>
        <w:t xml:space="preserve"> </w:t>
      </w:r>
      <w:r>
        <w:t>are</w:t>
      </w:r>
      <w:r>
        <w:rPr>
          <w:spacing w:val="10"/>
        </w:rPr>
        <w:t xml:space="preserve"> </w:t>
      </w:r>
      <w:r>
        <w:t>caused</w:t>
      </w:r>
      <w:r>
        <w:rPr>
          <w:spacing w:val="8"/>
        </w:rPr>
        <w:t xml:space="preserve"> </w:t>
      </w:r>
      <w:r>
        <w:t>by</w:t>
      </w:r>
      <w:r>
        <w:rPr>
          <w:spacing w:val="8"/>
        </w:rPr>
        <w:t xml:space="preserve"> </w:t>
      </w:r>
      <w:r>
        <w:t>the</w:t>
      </w:r>
      <w:r>
        <w:rPr>
          <w:spacing w:val="7"/>
        </w:rPr>
        <w:t xml:space="preserve"> </w:t>
      </w:r>
      <w:r>
        <w:t>different</w:t>
      </w:r>
      <w:r>
        <w:rPr>
          <w:spacing w:val="6"/>
        </w:rPr>
        <w:t xml:space="preserve"> </w:t>
      </w:r>
      <w:r>
        <w:t>probabilities of scattered</w:t>
      </w:r>
      <w:r>
        <w:rPr>
          <w:spacing w:val="2"/>
        </w:rPr>
        <w:t xml:space="preserve"> </w:t>
      </w:r>
      <w:r>
        <w:t>photons to</w:t>
      </w:r>
      <w:r>
        <w:rPr>
          <w:spacing w:val="8"/>
        </w:rPr>
        <w:t xml:space="preserve"> </w:t>
      </w:r>
      <w:r>
        <w:t>reaching</w:t>
      </w:r>
      <w:r>
        <w:rPr>
          <w:spacing w:val="2"/>
        </w:rPr>
        <w:t xml:space="preserve"> </w:t>
      </w:r>
      <w:r>
        <w:t>a</w:t>
      </w:r>
      <w:r>
        <w:rPr>
          <w:spacing w:val="9"/>
        </w:rPr>
        <w:t xml:space="preserve"> </w:t>
      </w:r>
      <w:r>
        <w:t>given</w:t>
      </w:r>
      <w:r>
        <w:rPr>
          <w:spacing w:val="3"/>
        </w:rPr>
        <w:t xml:space="preserve"> </w:t>
      </w:r>
      <w:r>
        <w:t>detector</w:t>
      </w:r>
      <w:r>
        <w:rPr>
          <w:spacing w:val="1"/>
        </w:rPr>
        <w:t xml:space="preserve"> </w:t>
      </w:r>
      <w:r>
        <w:t>position with</w:t>
      </w:r>
      <w:r>
        <w:rPr>
          <w:spacing w:val="21"/>
        </w:rPr>
        <w:t xml:space="preserve"> </w:t>
      </w:r>
      <w:r>
        <w:t>different</w:t>
      </w:r>
      <w:r>
        <w:rPr>
          <w:spacing w:val="15"/>
        </w:rPr>
        <w:t xml:space="preserve"> </w:t>
      </w:r>
      <w:r>
        <w:t>phantoms.</w:t>
      </w:r>
    </w:p>
    <w:p>
      <w:pPr>
        <w:pStyle w:val="style0"/>
        <w:rPr/>
      </w:pPr>
    </w:p>
    <w:bookmarkStart w:id="14" w:name="_Toc498125311"/>
    <w:p>
      <w:pPr>
        <w:pStyle w:val="style2"/>
        <w:rPr/>
      </w:pPr>
      <w:r>
        <w:t>Conclusions</w:t>
      </w:r>
      <w:bookmarkEnd w:id="14"/>
    </w:p>
    <w:p>
      <w:pPr>
        <w:pStyle w:val="style0"/>
        <w:ind w:firstLine="720"/>
        <w:rPr/>
      </w:pPr>
      <w:r>
        <w:t>Several</w:t>
      </w:r>
      <w:r>
        <w:rPr>
          <w:spacing w:val="6"/>
        </w:rPr>
        <w:t xml:space="preserve"> </w:t>
      </w:r>
      <w:r>
        <w:t>measurements</w:t>
      </w:r>
      <w:r>
        <w:rPr>
          <w:spacing w:val="-2"/>
        </w:rPr>
        <w:t xml:space="preserve"> </w:t>
      </w:r>
      <w:r>
        <w:t>are</w:t>
      </w:r>
      <w:r>
        <w:rPr>
          <w:spacing w:val="4"/>
        </w:rPr>
        <w:t xml:space="preserve"> </w:t>
      </w:r>
      <w:r>
        <w:t>performed</w:t>
      </w:r>
      <w:r>
        <w:rPr>
          <w:spacing w:val="-1"/>
        </w:rPr>
        <w:t xml:space="preserve"> </w:t>
      </w:r>
      <w:r>
        <w:t>around</w:t>
      </w:r>
      <w:r>
        <w:rPr>
          <w:spacing w:val="2"/>
        </w:rPr>
        <w:t xml:space="preserve"> </w:t>
      </w:r>
      <w:r>
        <w:t>the</w:t>
      </w:r>
      <w:r>
        <w:rPr>
          <w:spacing w:val="4"/>
        </w:rPr>
        <w:t xml:space="preserve"> </w:t>
      </w:r>
      <w:r>
        <w:t>pipe</w:t>
      </w:r>
      <w:r>
        <w:rPr>
          <w:spacing w:val="4"/>
        </w:rPr>
        <w:t xml:space="preserve"> </w:t>
      </w:r>
      <w:r>
        <w:t>on</w:t>
      </w:r>
      <w:r>
        <w:rPr>
          <w:spacing w:val="5"/>
        </w:rPr>
        <w:t xml:space="preserve"> </w:t>
      </w:r>
      <w:r>
        <w:t>the same</w:t>
      </w:r>
      <w:r>
        <w:rPr>
          <w:spacing w:val="8"/>
        </w:rPr>
        <w:t xml:space="preserve"> </w:t>
      </w:r>
      <w:r>
        <w:t>cross-section, representing</w:t>
      </w:r>
      <w:r>
        <w:rPr>
          <w:spacing w:val="1"/>
        </w:rPr>
        <w:t xml:space="preserve"> </w:t>
      </w:r>
      <w:r>
        <w:t>several</w:t>
      </w:r>
      <w:r>
        <w:rPr>
          <w:spacing w:val="7"/>
        </w:rPr>
        <w:t xml:space="preserve"> </w:t>
      </w:r>
      <w:r>
        <w:t>detectors installed.</w:t>
      </w:r>
      <w:r>
        <w:rPr>
          <w:spacing w:val="1"/>
        </w:rPr>
        <w:t xml:space="preserve"> </w:t>
      </w:r>
      <w:r>
        <w:t>Due</w:t>
      </w:r>
      <w:r>
        <w:rPr>
          <w:spacing w:val="3"/>
        </w:rPr>
        <w:t xml:space="preserve"> </w:t>
      </w:r>
      <w:r>
        <w:t>to</w:t>
      </w:r>
      <w:r>
        <w:rPr>
          <w:spacing w:val="7"/>
        </w:rPr>
        <w:t xml:space="preserve"> </w:t>
      </w:r>
      <w:r>
        <w:t>the</w:t>
      </w:r>
      <w:r>
        <w:rPr>
          <w:spacing w:val="2"/>
        </w:rPr>
        <w:t xml:space="preserve"> </w:t>
      </w:r>
      <w:r>
        <w:t>low</w:t>
      </w:r>
      <w:r>
        <w:rPr>
          <w:spacing w:val="6"/>
        </w:rPr>
        <w:t xml:space="preserve"> </w:t>
      </w:r>
      <w:r>
        <w:t>energy</w:t>
      </w:r>
      <w:r>
        <w:rPr>
          <w:spacing w:val="3"/>
        </w:rPr>
        <w:t xml:space="preserve"> </w:t>
      </w:r>
      <w:r>
        <w:t>of</w:t>
      </w:r>
      <w:r>
        <w:rPr>
          <w:spacing w:val="5"/>
        </w:rPr>
        <w:t xml:space="preserve"> </w:t>
      </w:r>
      <w:r>
        <w:t>the</w:t>
      </w:r>
      <w:r>
        <w:rPr>
          <w:spacing w:val="4"/>
        </w:rPr>
        <w:t xml:space="preserve"> </w:t>
      </w:r>
      <w:r>
        <w:t>source, shielding requirements are</w:t>
      </w:r>
      <w:r>
        <w:rPr>
          <w:spacing w:val="9"/>
        </w:rPr>
        <w:t xml:space="preserve"> </w:t>
      </w:r>
      <w:r>
        <w:t>reduced,</w:t>
      </w:r>
      <w:r>
        <w:rPr>
          <w:spacing w:val="7"/>
        </w:rPr>
        <w:t xml:space="preserve"> </w:t>
      </w:r>
      <w:r>
        <w:t>with</w:t>
      </w:r>
      <w:r>
        <w:rPr>
          <w:spacing w:val="6"/>
        </w:rPr>
        <w:t xml:space="preserve"> </w:t>
      </w:r>
      <w:r>
        <w:t>the</w:t>
      </w:r>
      <w:r>
        <w:rPr>
          <w:spacing w:val="8"/>
        </w:rPr>
        <w:t xml:space="preserve"> </w:t>
      </w:r>
      <w:r>
        <w:t>result</w:t>
      </w:r>
      <w:r>
        <w:rPr>
          <w:spacing w:val="6"/>
        </w:rPr>
        <w:t xml:space="preserve"> </w:t>
      </w:r>
      <w:r>
        <w:t>that</w:t>
      </w:r>
      <w:r>
        <w:rPr>
          <w:spacing w:val="10"/>
        </w:rPr>
        <w:t xml:space="preserve"> </w:t>
      </w:r>
      <w:r>
        <w:t>the</w:t>
      </w:r>
      <w:r>
        <w:rPr>
          <w:spacing w:val="8"/>
        </w:rPr>
        <w:t xml:space="preserve"> </w:t>
      </w:r>
      <w:r>
        <w:t>source and</w:t>
      </w:r>
      <w:r>
        <w:rPr>
          <w:spacing w:val="22"/>
        </w:rPr>
        <w:t xml:space="preserve"> </w:t>
      </w:r>
      <w:r>
        <w:t>detectors</w:t>
      </w:r>
      <w:r>
        <w:rPr>
          <w:spacing w:val="13"/>
        </w:rPr>
        <w:t xml:space="preserve"> </w:t>
      </w:r>
      <w:r>
        <w:t>can</w:t>
      </w:r>
      <w:r>
        <w:rPr>
          <w:spacing w:val="22"/>
        </w:rPr>
        <w:t xml:space="preserve"> </w:t>
      </w:r>
      <w:r>
        <w:t>be</w:t>
      </w:r>
      <w:r>
        <w:rPr>
          <w:spacing w:val="19"/>
        </w:rPr>
        <w:t xml:space="preserve"> </w:t>
      </w:r>
      <w:r>
        <w:t>integrated</w:t>
      </w:r>
      <w:r>
        <w:rPr>
          <w:spacing w:val="16"/>
        </w:rPr>
        <w:t xml:space="preserve"> </w:t>
      </w:r>
      <w:r>
        <w:t>into</w:t>
      </w:r>
      <w:r>
        <w:rPr>
          <w:spacing w:val="20"/>
        </w:rPr>
        <w:t xml:space="preserve"> </w:t>
      </w:r>
      <w:r>
        <w:t>the</w:t>
      </w:r>
      <w:r>
        <w:rPr>
          <w:spacing w:val="20"/>
        </w:rPr>
        <w:t xml:space="preserve"> </w:t>
      </w:r>
      <w:r>
        <w:t>pipe-wall.</w:t>
      </w:r>
      <w:r>
        <w:t xml:space="preserve"> </w:t>
      </w:r>
      <w:r>
        <w:t>Using</w:t>
      </w:r>
      <w:r>
        <w:rPr>
          <w:spacing w:val="9"/>
        </w:rPr>
        <w:t xml:space="preserve"> </w:t>
      </w:r>
      <w:r>
        <w:t>the</w:t>
      </w:r>
      <w:r>
        <w:rPr>
          <w:spacing w:val="11"/>
        </w:rPr>
        <w:t xml:space="preserve"> </w:t>
      </w:r>
      <w:r>
        <w:t>multi-beam</w:t>
      </w:r>
      <w:r>
        <w:rPr>
          <w:spacing w:val="2"/>
        </w:rPr>
        <w:t xml:space="preserve"> </w:t>
      </w:r>
      <w:r>
        <w:t>gamma-ray</w:t>
      </w:r>
      <w:r>
        <w:rPr>
          <w:spacing w:val="4"/>
        </w:rPr>
        <w:t xml:space="preserve"> </w:t>
      </w:r>
      <w:r>
        <w:t>measurement principles,</w:t>
      </w:r>
      <w:r>
        <w:rPr>
          <w:spacing w:val="-4"/>
        </w:rPr>
        <w:t xml:space="preserve"> </w:t>
      </w:r>
      <w:r>
        <w:t>it</w:t>
      </w:r>
      <w:r>
        <w:rPr>
          <w:spacing w:val="-4"/>
        </w:rPr>
        <w:t xml:space="preserve"> </w:t>
      </w:r>
      <w:r>
        <w:t>has</w:t>
      </w:r>
      <w:r>
        <w:rPr>
          <w:spacing w:val="-3"/>
        </w:rPr>
        <w:t xml:space="preserve"> </w:t>
      </w:r>
      <w:r>
        <w:t>been</w:t>
      </w:r>
      <w:r>
        <w:rPr>
          <w:spacing w:val="-7"/>
        </w:rPr>
        <w:t xml:space="preserve"> </w:t>
      </w:r>
      <w:r>
        <w:t>shown</w:t>
      </w:r>
      <w:r>
        <w:rPr>
          <w:spacing w:val="-8"/>
        </w:rPr>
        <w:t xml:space="preserve"> </w:t>
      </w:r>
      <w:r>
        <w:t>that</w:t>
      </w:r>
      <w:r>
        <w:rPr>
          <w:spacing w:val="-2"/>
        </w:rPr>
        <w:t xml:space="preserve"> </w:t>
      </w:r>
      <w:r>
        <w:t>accurate</w:t>
      </w:r>
      <w:r>
        <w:rPr>
          <w:spacing w:val="-11"/>
        </w:rPr>
        <w:t xml:space="preserve"> </w:t>
      </w:r>
      <w:r>
        <w:t>measurements</w:t>
      </w:r>
      <w:r>
        <w:rPr>
          <w:spacing w:val="-12"/>
        </w:rPr>
        <w:t xml:space="preserve"> </w:t>
      </w:r>
      <w:r>
        <w:t>can be</w:t>
      </w:r>
      <w:r>
        <w:rPr>
          <w:spacing w:val="22"/>
        </w:rPr>
        <w:t xml:space="preserve"> </w:t>
      </w:r>
      <w:r>
        <w:t>made</w:t>
      </w:r>
      <w:r>
        <w:rPr>
          <w:spacing w:val="18"/>
        </w:rPr>
        <w:t xml:space="preserve"> </w:t>
      </w:r>
      <w:r>
        <w:t>when</w:t>
      </w:r>
      <w:r>
        <w:rPr>
          <w:spacing w:val="18"/>
        </w:rPr>
        <w:t xml:space="preserve"> </w:t>
      </w:r>
      <w:r>
        <w:t>measurements</w:t>
      </w:r>
      <w:r>
        <w:rPr>
          <w:spacing w:val="12"/>
        </w:rPr>
        <w:t xml:space="preserve"> </w:t>
      </w:r>
      <w:r>
        <w:t>of</w:t>
      </w:r>
      <w:r>
        <w:rPr>
          <w:spacing w:val="21"/>
        </w:rPr>
        <w:t xml:space="preserve"> </w:t>
      </w:r>
      <w:r>
        <w:t>four</w:t>
      </w:r>
      <w:r>
        <w:rPr>
          <w:spacing w:val="18"/>
        </w:rPr>
        <w:t xml:space="preserve"> </w:t>
      </w:r>
      <w:r>
        <w:t>detector</w:t>
      </w:r>
      <w:r>
        <w:rPr>
          <w:spacing w:val="16"/>
        </w:rPr>
        <w:t xml:space="preserve"> </w:t>
      </w:r>
      <w:r>
        <w:t>positions around</w:t>
      </w:r>
      <w:r>
        <w:rPr>
          <w:spacing w:val="4"/>
        </w:rPr>
        <w:t xml:space="preserve"> </w:t>
      </w:r>
      <w:r>
        <w:t>the</w:t>
      </w:r>
      <w:r>
        <w:rPr>
          <w:spacing w:val="5"/>
        </w:rPr>
        <w:t xml:space="preserve"> </w:t>
      </w:r>
      <w:r>
        <w:t>pipe</w:t>
      </w:r>
      <w:r>
        <w:rPr>
          <w:spacing w:val="3"/>
        </w:rPr>
        <w:t xml:space="preserve"> </w:t>
      </w:r>
      <w:r>
        <w:t>are</w:t>
      </w:r>
      <w:r>
        <w:rPr>
          <w:spacing w:val="5"/>
        </w:rPr>
        <w:t xml:space="preserve"> </w:t>
      </w:r>
      <w:r>
        <w:t>combined. However,</w:t>
      </w:r>
      <w:r>
        <w:rPr>
          <w:spacing w:val="2"/>
        </w:rPr>
        <w:t xml:space="preserve"> </w:t>
      </w:r>
      <w:r>
        <w:t>it</w:t>
      </w:r>
      <w:r>
        <w:rPr>
          <w:spacing w:val="5"/>
        </w:rPr>
        <w:t xml:space="preserve"> </w:t>
      </w:r>
      <w:r>
        <w:t>should</w:t>
      </w:r>
      <w:r>
        <w:rPr>
          <w:spacing w:val="3"/>
        </w:rPr>
        <w:t xml:space="preserve"> </w:t>
      </w:r>
      <w:r>
        <w:t>be noted</w:t>
      </w:r>
      <w:r>
        <w:rPr>
          <w:spacing w:val="6"/>
        </w:rPr>
        <w:t xml:space="preserve"> </w:t>
      </w:r>
      <w:r>
        <w:t>that</w:t>
      </w:r>
      <w:r>
        <w:rPr>
          <w:spacing w:val="8"/>
        </w:rPr>
        <w:t xml:space="preserve"> </w:t>
      </w:r>
      <w:r>
        <w:t>the</w:t>
      </w:r>
      <w:r>
        <w:rPr>
          <w:spacing w:val="8"/>
        </w:rPr>
        <w:t xml:space="preserve"> </w:t>
      </w:r>
      <w:r>
        <w:t>results</w:t>
      </w:r>
      <w:r>
        <w:rPr>
          <w:spacing w:val="3"/>
        </w:rPr>
        <w:t xml:space="preserve"> </w:t>
      </w:r>
      <w:r>
        <w:t>depend</w:t>
      </w:r>
      <w:r>
        <w:rPr>
          <w:spacing w:val="3"/>
        </w:rPr>
        <w:t xml:space="preserve"> </w:t>
      </w:r>
      <w:r>
        <w:t>on</w:t>
      </w:r>
      <w:r>
        <w:rPr>
          <w:spacing w:val="10"/>
        </w:rPr>
        <w:t xml:space="preserve"> </w:t>
      </w:r>
      <w:r>
        <w:t>the</w:t>
      </w:r>
      <w:r>
        <w:rPr>
          <w:spacing w:val="8"/>
        </w:rPr>
        <w:t xml:space="preserve"> </w:t>
      </w:r>
      <w:r>
        <w:t>pipe-wall material and</w:t>
      </w:r>
      <w:r>
        <w:rPr>
          <w:spacing w:val="8"/>
        </w:rPr>
        <w:t xml:space="preserve"> </w:t>
      </w:r>
      <w:r>
        <w:t>thickness, pipe</w:t>
      </w:r>
      <w:r>
        <w:rPr>
          <w:spacing w:val="6"/>
        </w:rPr>
        <w:t xml:space="preserve"> </w:t>
      </w:r>
      <w:r>
        <w:t>dimensions,</w:t>
      </w:r>
      <w:r>
        <w:rPr>
          <w:spacing w:val="1"/>
        </w:rPr>
        <w:t xml:space="preserve"> </w:t>
      </w:r>
      <w:r>
        <w:t>and</w:t>
      </w:r>
      <w:r>
        <w:rPr>
          <w:spacing w:val="5"/>
        </w:rPr>
        <w:t xml:space="preserve"> </w:t>
      </w:r>
      <w:r>
        <w:t>finally,</w:t>
      </w:r>
      <w:r>
        <w:rPr>
          <w:spacing w:val="-9"/>
        </w:rPr>
        <w:t xml:space="preserve"> </w:t>
      </w:r>
      <w:r>
        <w:t>on</w:t>
      </w:r>
      <w:r>
        <w:rPr>
          <w:spacing w:val="8"/>
        </w:rPr>
        <w:t xml:space="preserve"> </w:t>
      </w:r>
      <w:r>
        <w:t>the</w:t>
      </w:r>
      <w:r>
        <w:rPr>
          <w:spacing w:val="6"/>
        </w:rPr>
        <w:t xml:space="preserve"> </w:t>
      </w:r>
      <w:r>
        <w:t>com- position</w:t>
      </w:r>
      <w:r>
        <w:rPr>
          <w:spacing w:val="18"/>
        </w:rPr>
        <w:t xml:space="preserve"> </w:t>
      </w:r>
      <w:r>
        <w:t>of</w:t>
      </w:r>
      <w:r>
        <w:rPr>
          <w:spacing w:val="21"/>
        </w:rPr>
        <w:t xml:space="preserve"> </w:t>
      </w:r>
      <w:r>
        <w:t>the</w:t>
      </w:r>
      <w:r>
        <w:rPr>
          <w:spacing w:val="18"/>
        </w:rPr>
        <w:t xml:space="preserve"> </w:t>
      </w:r>
      <w:r>
        <w:t>flow.</w:t>
      </w:r>
    </w:p>
    <w:bookmarkStart w:id="15" w:name="_Toc290554257"/>
    <w:bookmarkStart w:id="16" w:name="_Toc299621222"/>
    <w:bookmarkStart w:id="17" w:name="_Toc299631447"/>
    <w:bookmarkStart w:id="18" w:name="_Toc299631509"/>
    <w:bookmarkStart w:id="19" w:name="_Toc299631599"/>
    <w:bookmarkStart w:id="20" w:name="_Toc299631675"/>
    <w:bookmarkStart w:id="21" w:name="_Toc498125312"/>
    <w:bookmarkStart w:id="22" w:name="_Toc51833404"/>
    <w:p>
      <w:pPr>
        <w:pStyle w:val="style4107"/>
        <w:rPr/>
      </w:pPr>
      <w:r>
        <w:t>REFERENCES</w:t>
      </w:r>
      <w:bookmarkEnd w:id="15"/>
      <w:bookmarkEnd w:id="16"/>
      <w:bookmarkEnd w:id="17"/>
      <w:bookmarkEnd w:id="18"/>
      <w:bookmarkEnd w:id="19"/>
      <w:bookmarkEnd w:id="20"/>
      <w:bookmarkEnd w:id="21"/>
    </w:p>
    <w:p>
      <w:pPr>
        <w:pStyle w:val="style0"/>
        <w:rPr/>
      </w:pPr>
      <w:r>
        <w:t>[1] R.  Thorn, G.A.  Johansen, E.  Hammer, recent developments in three-phase flow measurements, Meas Sci Tech 8 (1997) 691–701.</w:t>
      </w:r>
    </w:p>
    <w:p>
      <w:pPr>
        <w:pStyle w:val="style0"/>
        <w:rPr/>
      </w:pPr>
      <w:r>
        <w:t>[2] P.S. Harrison, G.F. Hewitt, S.J. Parry, G.L. Shires.  Development and testing of the “Mixmeter” multiphase flow meter. Proceedings of North Sea Flow Measurement Workshop, 1995.</w:t>
      </w:r>
    </w:p>
    <w:p>
      <w:pPr>
        <w:pStyle w:val="style0"/>
        <w:rPr/>
      </w:pPr>
      <w:r>
        <w:t>[3] H. Linga. Measurements of two-phase flow details. Drang. Thesis, Norwegian   Institute   of Technology,   University   of Trondheim, 1991.</w:t>
      </w:r>
    </w:p>
    <w:p>
      <w:pPr>
        <w:pStyle w:val="style0"/>
        <w:rPr/>
      </w:pPr>
      <w:r>
        <w:t>[4] E. Åbro, G.A. Johansen, H. Opedal.  A radiation transport model as a design tool for gamma densitometers.  Submitted for publication, 1998.</w:t>
      </w:r>
    </w:p>
    <w:p>
      <w:pPr>
        <w:pStyle w:val="style0"/>
        <w:rPr/>
      </w:pPr>
      <w:r>
        <w:t>[5] H. Opedal.  Integrated gamma densitometer and venturi meter for liquid phase measurements.   M.Sc thesis, University of Bergen, 1997 (in Norwegian).</w:t>
      </w:r>
    </w:p>
    <w:p>
      <w:pPr>
        <w:pStyle w:val="style0"/>
        <w:rPr/>
        <w:sectPr>
          <w:headerReference w:type="default" r:id="rId7"/>
          <w:pgSz w:w="11906" w:h="16838" w:orient="portrait" w:code="9"/>
          <w:pgMar w:top="1701" w:right="1701" w:bottom="1701" w:left="1701" w:header="709" w:footer="851" w:gutter="0"/>
          <w:cols w:space="708"/>
          <w:docGrid w:linePitch="360"/>
        </w:sectPr>
      </w:pPr>
      <w:r>
        <w:t>[6] G.A. Johansen, T. Frøystein, H. Pedersen, B. McKibben. A flexible test platform for investigating gamma-ray tomography geometries and applications. Proceedings of Frontiers in Industrial Process Tomography II, Delft (Netherlands), 9</w:t>
      </w:r>
      <w:r>
        <w:t xml:space="preserve">–12 April, </w:t>
      </w:r>
    </w:p>
    <w:bookmarkEnd w:id="22"/>
    <w:p>
      <w:pPr>
        <w:pStyle w:val="style0"/>
        <w:rPr/>
      </w:pPr>
    </w:p>
    <w:sectPr>
      <w:headerReference w:type="default" r:id="rId8"/>
      <w:pgSz w:w="11906" w:h="16838" w:orient="portrait" w:code="9"/>
      <w:pgMar w:top="1701" w:right="1701" w:bottom="1701" w:left="1701" w:header="709"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0020204"/>
    <w:charset w:val="00"/>
    <w:family w:val="swiss"/>
    <w:pitch w:val="variable"/>
    <w:sig w:usb0="E0002AFF" w:usb1="C0007843" w:usb2="00000009" w:usb3="00000000" w:csb0="000001FF" w:csb1="00000000"/>
  </w:font>
  <w:font w:name="Times New Roman">
    <w:altName w:val="Times New Roman"/>
    <w:panose1 w:val="02020603050000020304"/>
    <w:charset w:val="00"/>
    <w:family w:val="roman"/>
    <w:pitch w:val="variable"/>
    <w:sig w:usb0="E0002AFF" w:usb1="C0007843"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Cambria">
    <w:altName w:val="Cambria"/>
    <w:panose1 w:val="02040503050000030204"/>
    <w:charset w:val="00"/>
    <w:family w:val="roman"/>
    <w:pitch w:val="variable"/>
    <w:sig w:usb0="E00002FF" w:usb1="400004FF" w:usb2="00000000"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 w:name="Tahoma">
    <w:altName w:val="Tahoma"/>
    <w:panose1 w:val="020b0604030000040204"/>
    <w:charset w:val="00"/>
    <w:family w:val="swiss"/>
    <w:pitch w:val="variable"/>
    <w:sig w:usb0="00000003" w:usb1="00000000" w:usb2="00000000" w:usb3="00000000" w:csb0="00000001" w:csb1="00000000"/>
  </w:font>
  <w:font w:name="Symbol">
    <w:altName w:val="Symbol"/>
    <w:panose1 w:val="05050102010000020507"/>
    <w:charset w:val="02"/>
    <w:family w:val="roman"/>
    <w:pitch w:val="variable"/>
    <w:sig w:usb0="00000000" w:usb1="10000000" w:usb2="00000000" w:usb3="00000000" w:csb0="80000000" w:csb1="00000000"/>
  </w:font>
  <w:font w:name="Cambria Math">
    <w:altName w:val="Cambria Math"/>
    <w:panose1 w:val="02040503050000030204"/>
    <w:charset w:val="00"/>
    <w:family w:val="roman"/>
    <w:pitch w:val="variable"/>
    <w:sig w:usb0="E00002FF" w:usb1="420024FF" w:usb2="00000000" w:usb3="00000000" w:csb0="000001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42AB986"/>
    <w:lvl w:ilvl="0">
      <w:start w:val="1"/>
      <w:numFmt w:val="decimal"/>
      <w:lvlText w:val="%1."/>
      <w:lvlJc w:val="left"/>
      <w:pPr>
        <w:ind w:left="432" w:hanging="432"/>
      </w:pPr>
      <w:rPr>
        <w:rFonts w:ascii="Arial" w:cs="Times New Roman" w:hAnsi="Arial"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
    <w:nsid w:val="00000001"/>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000002"/>
    <w:multiLevelType w:val="multilevel"/>
    <w:tmpl w:val="F42AB986"/>
    <w:lvl w:ilvl="0">
      <w:start w:val="1"/>
      <w:numFmt w:val="decimal"/>
      <w:lvlText w:val="%1."/>
      <w:lvlJc w:val="left"/>
      <w:pPr>
        <w:ind w:left="432" w:hanging="432"/>
      </w:pPr>
      <w:rPr>
        <w:rFonts w:ascii="Arial" w:cs="Times New Roman" w:hAnsi="Arial"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3">
    <w:nsid w:val="00000003"/>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0000004"/>
    <w:multiLevelType w:val="multilevel"/>
    <w:tmpl w:val="1EE21C5E"/>
    <w:lvl w:ilvl="0">
      <w:start w:val="1"/>
      <w:numFmt w:val="decimal"/>
      <w:pStyle w:val="style1"/>
      <w:suff w:val="space"/>
      <w:lvlText w:val="%1"/>
      <w:lvlJc w:val="left"/>
      <w:pPr>
        <w:ind w:left="432" w:hanging="432"/>
      </w:pPr>
      <w:rPr>
        <w:rFonts w:cs="Times New Roman" w:hint="default"/>
      </w:rPr>
    </w:lvl>
    <w:lvl w:ilvl="1">
      <w:start w:val="1"/>
      <w:numFmt w:val="decimal"/>
      <w:pStyle w:val="style2"/>
      <w:suff w:val="space"/>
      <w:lvlText w:val="%1.%2"/>
      <w:lvlJc w:val="left"/>
      <w:pPr>
        <w:ind w:left="576" w:hanging="576"/>
      </w:pPr>
      <w:rPr>
        <w:rFonts w:cs="Times New Roman" w:hint="default"/>
      </w:rPr>
    </w:lvl>
    <w:lvl w:ilvl="2">
      <w:start w:val="1"/>
      <w:numFmt w:val="decimal"/>
      <w:pStyle w:val="style3"/>
      <w:suff w:val="space"/>
      <w:lvlText w:val="%1.%2.%3"/>
      <w:lvlJc w:val="left"/>
      <w:pPr>
        <w:ind w:left="720" w:hanging="720"/>
      </w:pPr>
      <w:rPr>
        <w:rFonts w:cs="Times New Roman" w:hint="default"/>
      </w:rPr>
    </w:lvl>
    <w:lvl w:ilvl="3">
      <w:start w:val="1"/>
      <w:numFmt w:val="decimal"/>
      <w:pStyle w:val="style4"/>
      <w:suff w:val="space"/>
      <w:lvlText w:val="%1.%2.%3.%4"/>
      <w:lvlJc w:val="left"/>
      <w:pPr>
        <w:ind w:left="864" w:hanging="864"/>
      </w:pPr>
      <w:rPr>
        <w:rFonts w:cs="Times New Roman" w:hint="default"/>
      </w:rPr>
    </w:lvl>
    <w:lvl w:ilvl="4">
      <w:start w:val="1"/>
      <w:numFmt w:val="decimal"/>
      <w:pStyle w:val="style5"/>
      <w:suff w:val="space"/>
      <w:lvlText w:val="%1.%2.%3.%4.%5"/>
      <w:lvlJc w:val="left"/>
      <w:pPr>
        <w:ind w:left="1008" w:hanging="1008"/>
      </w:pPr>
      <w:rPr>
        <w:rFonts w:cs="Times New Roman" w:hint="default"/>
      </w:rPr>
    </w:lvl>
    <w:lvl w:ilvl="5">
      <w:start w:val="1"/>
      <w:numFmt w:val="decimal"/>
      <w:pStyle w:val="style6"/>
      <w:suff w:val="space"/>
      <w:lvlText w:val="%1.%2.%3.%4.%5.%6"/>
      <w:lvlJc w:val="left"/>
      <w:pPr>
        <w:ind w:left="1152" w:hanging="1152"/>
      </w:pPr>
      <w:rPr>
        <w:rFonts w:cs="Times New Roman" w:hint="default"/>
      </w:rPr>
    </w:lvl>
    <w:lvl w:ilvl="6">
      <w:start w:val="1"/>
      <w:numFmt w:val="upperLetter"/>
      <w:pStyle w:val="style7"/>
      <w:suff w:val="space"/>
      <w:lvlText w:val="Appendix %7"/>
      <w:lvlJc w:val="left"/>
      <w:pPr>
        <w:ind w:left="0" w:firstLine="0"/>
      </w:pPr>
      <w:rPr>
        <w:rFonts w:cs="Times New Roman" w:hint="default"/>
      </w:rPr>
    </w:lvl>
    <w:lvl w:ilvl="7">
      <w:start w:val="1"/>
      <w:numFmt w:val="decimal"/>
      <w:pStyle w:val="style8"/>
      <w:suff w:val="space"/>
      <w:lvlText w:val="%7.%8"/>
      <w:lvlJc w:val="left"/>
      <w:pPr>
        <w:ind w:left="1440" w:hanging="1440"/>
      </w:pPr>
      <w:rPr>
        <w:rFonts w:cs="Times New Roman" w:hint="default"/>
      </w:rPr>
    </w:lvl>
    <w:lvl w:ilvl="8">
      <w:start w:val="1"/>
      <w:numFmt w:val="decimal"/>
      <w:pStyle w:val="style9"/>
      <w:suff w:val="space"/>
      <w:lvlText w:val="%7.%8.%9"/>
      <w:lvlJc w:val="left"/>
      <w:pPr>
        <w:ind w:left="1584" w:hanging="1584"/>
      </w:pPr>
      <w:rPr>
        <w:rFonts w:cs="Times New Roman" w:hint="default"/>
      </w:rPr>
    </w:lvl>
  </w:abstractNum>
  <w:abstractNum w:abstractNumId="5">
    <w:nsid w:val="00000005"/>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6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before="180" w:after="0" w:lineRule="auto" w:line="360"/>
      <w:jc w:val="both"/>
    </w:pPr>
    <w:rPr>
      <w:rFonts w:ascii="Times New Roman" w:cs="Times New Roman" w:eastAsia="Times New Roman" w:hAnsi="Times New Roman"/>
      <w:sz w:val="24"/>
      <w:szCs w:val="24"/>
      <w:lang w:val="en-GB"/>
    </w:rPr>
  </w:style>
  <w:style w:type="paragraph" w:styleId="style1">
    <w:name w:val="heading 1"/>
    <w:basedOn w:val="style0"/>
    <w:next w:val="style0"/>
    <w:link w:val="style4097"/>
    <w:qFormat/>
    <w:uiPriority w:val="99"/>
    <w:pPr>
      <w:keepNext/>
      <w:numPr>
        <w:ilvl w:val="0"/>
        <w:numId w:val="2"/>
      </w:numPr>
      <w:spacing w:before="0" w:after="240" w:lineRule="auto" w:line="276"/>
      <w:ind w:left="0" w:firstLine="0"/>
      <w:jc w:val="left"/>
      <w:outlineLvl w:val="0"/>
    </w:pPr>
    <w:rPr>
      <w:rFonts w:ascii="Cambria" w:cs="Arial" w:hAnsi="Cambria"/>
      <w:b/>
      <w:bCs/>
      <w:kern w:val="32"/>
      <w:sz w:val="28"/>
      <w:szCs w:val="32"/>
    </w:rPr>
  </w:style>
  <w:style w:type="paragraph" w:styleId="style2">
    <w:name w:val="heading 2"/>
    <w:basedOn w:val="style0"/>
    <w:next w:val="style0"/>
    <w:link w:val="style4098"/>
    <w:qFormat/>
    <w:uiPriority w:val="99"/>
    <w:pPr>
      <w:keepNext/>
      <w:numPr>
        <w:ilvl w:val="1"/>
        <w:numId w:val="2"/>
      </w:numPr>
      <w:spacing w:before="240" w:lineRule="auto" w:line="276"/>
      <w:ind w:left="0" w:firstLine="0"/>
      <w:jc w:val="left"/>
      <w:outlineLvl w:val="1"/>
    </w:pPr>
    <w:rPr>
      <w:rFonts w:ascii="Cambria" w:cs="Arial" w:hAnsi="Cambria"/>
      <w:b/>
      <w:bCs/>
      <w:iCs/>
      <w:szCs w:val="28"/>
    </w:rPr>
  </w:style>
  <w:style w:type="paragraph" w:styleId="style3">
    <w:name w:val="heading 3"/>
    <w:basedOn w:val="style0"/>
    <w:next w:val="style0"/>
    <w:link w:val="style4099"/>
    <w:qFormat/>
    <w:uiPriority w:val="99"/>
    <w:pPr>
      <w:keepNext/>
      <w:numPr>
        <w:ilvl w:val="2"/>
        <w:numId w:val="2"/>
      </w:numPr>
      <w:spacing w:before="240" w:lineRule="auto" w:line="276"/>
      <w:ind w:left="0" w:firstLine="0"/>
      <w:jc w:val="left"/>
      <w:outlineLvl w:val="2"/>
    </w:pPr>
    <w:rPr>
      <w:rFonts w:ascii="Cambria" w:cs="Arial" w:hAnsi="Cambria"/>
      <w:b/>
      <w:bCs/>
      <w:szCs w:val="26"/>
    </w:rPr>
  </w:style>
  <w:style w:type="paragraph" w:styleId="style4">
    <w:name w:val="heading 4"/>
    <w:basedOn w:val="style0"/>
    <w:next w:val="style0"/>
    <w:link w:val="style4100"/>
    <w:qFormat/>
    <w:uiPriority w:val="99"/>
    <w:pPr>
      <w:keepNext/>
      <w:numPr>
        <w:ilvl w:val="3"/>
        <w:numId w:val="2"/>
      </w:numPr>
      <w:spacing w:lineRule="auto" w:line="276"/>
      <w:ind w:left="0" w:firstLine="0"/>
      <w:jc w:val="left"/>
      <w:outlineLvl w:val="3"/>
    </w:pPr>
    <w:rPr>
      <w:rFonts w:ascii="Cambria" w:hAnsi="Cambria"/>
      <w:b/>
      <w:bCs/>
      <w:szCs w:val="28"/>
    </w:rPr>
  </w:style>
  <w:style w:type="paragraph" w:styleId="style5">
    <w:name w:val="heading 5"/>
    <w:basedOn w:val="style0"/>
    <w:next w:val="style0"/>
    <w:link w:val="style4101"/>
    <w:qFormat/>
    <w:uiPriority w:val="99"/>
    <w:pPr>
      <w:numPr>
        <w:ilvl w:val="4"/>
        <w:numId w:val="2"/>
      </w:numPr>
      <w:spacing w:lineRule="auto" w:line="276"/>
      <w:ind w:left="0" w:firstLine="0"/>
      <w:jc w:val="left"/>
      <w:outlineLvl w:val="4"/>
    </w:pPr>
    <w:rPr>
      <w:b/>
      <w:bCs/>
      <w:i/>
      <w:iCs/>
      <w:sz w:val="22"/>
      <w:szCs w:val="26"/>
    </w:rPr>
  </w:style>
  <w:style w:type="paragraph" w:styleId="style6">
    <w:name w:val="heading 6"/>
    <w:basedOn w:val="style0"/>
    <w:next w:val="style0"/>
    <w:link w:val="style4102"/>
    <w:qFormat/>
    <w:uiPriority w:val="99"/>
    <w:pPr>
      <w:numPr>
        <w:ilvl w:val="5"/>
        <w:numId w:val="2"/>
      </w:numPr>
      <w:spacing w:lineRule="auto" w:line="276"/>
      <w:ind w:left="0" w:firstLine="0"/>
      <w:jc w:val="left"/>
      <w:outlineLvl w:val="5"/>
    </w:pPr>
    <w:rPr>
      <w:b/>
      <w:bCs/>
      <w:sz w:val="22"/>
      <w:szCs w:val="22"/>
    </w:rPr>
  </w:style>
  <w:style w:type="paragraph" w:styleId="style7">
    <w:name w:val="heading 7"/>
    <w:basedOn w:val="style0"/>
    <w:next w:val="style0"/>
    <w:link w:val="style4103"/>
    <w:qFormat/>
    <w:uiPriority w:val="99"/>
    <w:pPr>
      <w:numPr>
        <w:ilvl w:val="6"/>
        <w:numId w:val="2"/>
      </w:numPr>
      <w:spacing w:before="240" w:lineRule="auto" w:line="276"/>
      <w:jc w:val="left"/>
      <w:outlineLvl w:val="6"/>
    </w:pPr>
    <w:rPr>
      <w:b/>
      <w:sz w:val="32"/>
    </w:rPr>
  </w:style>
  <w:style w:type="paragraph" w:styleId="style8">
    <w:name w:val="heading 8"/>
    <w:basedOn w:val="style0"/>
    <w:next w:val="style0"/>
    <w:link w:val="style4104"/>
    <w:qFormat/>
    <w:uiPriority w:val="99"/>
    <w:pPr>
      <w:numPr>
        <w:ilvl w:val="7"/>
        <w:numId w:val="2"/>
      </w:numPr>
      <w:spacing w:before="240" w:lineRule="auto" w:line="276"/>
      <w:ind w:left="0" w:firstLine="0"/>
      <w:jc w:val="left"/>
      <w:outlineLvl w:val="7"/>
    </w:pPr>
    <w:rPr>
      <w:b/>
      <w:iCs/>
      <w:sz w:val="28"/>
    </w:rPr>
  </w:style>
  <w:style w:type="paragraph" w:styleId="style9">
    <w:name w:val="heading 9"/>
    <w:basedOn w:val="style0"/>
    <w:next w:val="style0"/>
    <w:link w:val="style4105"/>
    <w:qFormat/>
    <w:uiPriority w:val="99"/>
    <w:pPr>
      <w:numPr>
        <w:ilvl w:val="8"/>
        <w:numId w:val="2"/>
      </w:numPr>
      <w:spacing w:before="240" w:lineRule="auto" w:line="276"/>
      <w:ind w:left="0" w:firstLine="0"/>
      <w:jc w:val="left"/>
      <w:outlineLvl w:val="8"/>
    </w:pPr>
    <w:rPr>
      <w:rFonts w:cs="Arial"/>
      <w:b/>
      <w:sz w:val="26"/>
      <w:szCs w:val="2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1d66a71a-6b3b-4b59-bbb3-dede0a48bd62"/>
    <w:basedOn w:val="style65"/>
    <w:next w:val="style4097"/>
    <w:link w:val="style1"/>
    <w:uiPriority w:val="99"/>
    <w:rPr>
      <w:rFonts w:ascii="Cambria" w:cs="Arial" w:eastAsia="Times New Roman" w:hAnsi="Cambria"/>
      <w:b/>
      <w:bCs/>
      <w:kern w:val="32"/>
      <w:sz w:val="28"/>
      <w:szCs w:val="32"/>
      <w:lang w:val="en-GB"/>
    </w:rPr>
  </w:style>
  <w:style w:type="character" w:customStyle="1" w:styleId="style4098">
    <w:name w:val="Heading 2 Char_1a4a9e94-dac1-490b-a211-d94594a772e2"/>
    <w:basedOn w:val="style65"/>
    <w:next w:val="style4098"/>
    <w:link w:val="style2"/>
    <w:uiPriority w:val="99"/>
    <w:rPr>
      <w:rFonts w:ascii="Cambria" w:cs="Arial" w:eastAsia="Times New Roman" w:hAnsi="Cambria"/>
      <w:b/>
      <w:bCs/>
      <w:iCs/>
      <w:sz w:val="24"/>
      <w:szCs w:val="28"/>
      <w:lang w:val="en-GB"/>
    </w:rPr>
  </w:style>
  <w:style w:type="character" w:customStyle="1" w:styleId="style4099">
    <w:name w:val="Heading 3 Char_6209ced7-11fb-4ee2-a758-7baa36320f0d"/>
    <w:basedOn w:val="style65"/>
    <w:next w:val="style4099"/>
    <w:link w:val="style3"/>
    <w:uiPriority w:val="99"/>
    <w:rPr>
      <w:rFonts w:ascii="Cambria" w:cs="Arial" w:eastAsia="Times New Roman" w:hAnsi="Cambria"/>
      <w:b/>
      <w:bCs/>
      <w:sz w:val="24"/>
      <w:szCs w:val="26"/>
      <w:lang w:val="en-GB"/>
    </w:rPr>
  </w:style>
  <w:style w:type="character" w:customStyle="1" w:styleId="style4100">
    <w:name w:val="Heading 4 Char_55258bde-31ee-4010-9d6b-97bb5732656c"/>
    <w:basedOn w:val="style65"/>
    <w:next w:val="style4100"/>
    <w:link w:val="style4"/>
    <w:uiPriority w:val="99"/>
    <w:rPr>
      <w:rFonts w:ascii="Cambria" w:cs="Times New Roman" w:eastAsia="Times New Roman" w:hAnsi="Cambria"/>
      <w:b/>
      <w:bCs/>
      <w:sz w:val="24"/>
      <w:szCs w:val="28"/>
      <w:lang w:val="en-GB"/>
    </w:rPr>
  </w:style>
  <w:style w:type="character" w:customStyle="1" w:styleId="style4101">
    <w:name w:val="Heading 5 Char_faeb2a87-1c76-4539-8b5e-ee82de71376a"/>
    <w:basedOn w:val="style65"/>
    <w:next w:val="style4101"/>
    <w:link w:val="style5"/>
    <w:uiPriority w:val="99"/>
    <w:rPr>
      <w:rFonts w:ascii="Arial" w:cs="Times New Roman" w:eastAsia="Times New Roman" w:hAnsi="Arial"/>
      <w:b/>
      <w:bCs/>
      <w:i/>
      <w:iCs/>
      <w:szCs w:val="26"/>
      <w:lang w:val="en-GB"/>
    </w:rPr>
  </w:style>
  <w:style w:type="character" w:customStyle="1" w:styleId="style4102">
    <w:name w:val="Heading 6 Char_f69c408e-7383-4731-a8ba-69e206d80ca9"/>
    <w:basedOn w:val="style65"/>
    <w:next w:val="style4102"/>
    <w:link w:val="style6"/>
    <w:uiPriority w:val="99"/>
    <w:rPr>
      <w:rFonts w:ascii="Arial" w:cs="Times New Roman" w:eastAsia="Times New Roman" w:hAnsi="Arial"/>
      <w:b/>
      <w:bCs/>
      <w:lang w:val="en-GB"/>
    </w:rPr>
  </w:style>
  <w:style w:type="character" w:customStyle="1" w:styleId="style4103">
    <w:name w:val="Heading 7 Char_6d7d653c-9394-411b-9013-0cefea4098b8"/>
    <w:basedOn w:val="style65"/>
    <w:next w:val="style4103"/>
    <w:link w:val="style7"/>
    <w:uiPriority w:val="99"/>
    <w:rPr>
      <w:rFonts w:ascii="Arial" w:cs="Times New Roman" w:eastAsia="Times New Roman" w:hAnsi="Arial"/>
      <w:b/>
      <w:sz w:val="32"/>
      <w:szCs w:val="24"/>
      <w:lang w:val="en-GB"/>
    </w:rPr>
  </w:style>
  <w:style w:type="character" w:customStyle="1" w:styleId="style4104">
    <w:name w:val="Heading 8 Char_bacf0d66-129a-4b1d-bccc-8c9a16be5ed4"/>
    <w:basedOn w:val="style65"/>
    <w:next w:val="style4104"/>
    <w:link w:val="style8"/>
    <w:uiPriority w:val="99"/>
    <w:rPr>
      <w:rFonts w:ascii="Arial" w:cs="Times New Roman" w:eastAsia="Times New Roman" w:hAnsi="Arial"/>
      <w:b/>
      <w:iCs/>
      <w:sz w:val="28"/>
      <w:szCs w:val="24"/>
      <w:lang w:val="en-GB"/>
    </w:rPr>
  </w:style>
  <w:style w:type="character" w:customStyle="1" w:styleId="style4105">
    <w:name w:val="Heading 9 Char_d567db16-3e68-4e33-b3bd-6292af951262"/>
    <w:basedOn w:val="style65"/>
    <w:next w:val="style4105"/>
    <w:link w:val="style9"/>
    <w:uiPriority w:val="99"/>
    <w:rPr>
      <w:rFonts w:ascii="Arial" w:cs="Arial" w:eastAsia="Times New Roman" w:hAnsi="Arial"/>
      <w:b/>
      <w:sz w:val="26"/>
      <w:lang w:val="en-GB"/>
    </w:rPr>
  </w:style>
  <w:style w:type="paragraph" w:styleId="style19">
    <w:name w:val="toc 1"/>
    <w:basedOn w:val="style0"/>
    <w:next w:val="style0"/>
    <w:qFormat/>
    <w:uiPriority w:val="39"/>
    <w:pPr>
      <w:tabs>
        <w:tab w:val="right" w:leader="dot" w:pos="8494"/>
      </w:tabs>
      <w:spacing w:before="0" w:lineRule="auto" w:line="276"/>
      <w:ind w:right="425"/>
    </w:pPr>
    <w:rPr>
      <w:noProof/>
    </w:rPr>
  </w:style>
  <w:style w:type="paragraph" w:styleId="style20">
    <w:name w:val="toc 2"/>
    <w:basedOn w:val="style0"/>
    <w:next w:val="style0"/>
    <w:qFormat/>
    <w:uiPriority w:val="39"/>
    <w:pPr>
      <w:tabs>
        <w:tab w:val="right" w:leader="dot" w:pos="8494"/>
      </w:tabs>
      <w:spacing w:before="0" w:lineRule="auto" w:line="276"/>
      <w:ind w:left="238" w:right="425"/>
    </w:pPr>
    <w:rPr/>
  </w:style>
  <w:style w:type="paragraph" w:styleId="style21">
    <w:name w:val="toc 3"/>
    <w:basedOn w:val="style0"/>
    <w:next w:val="style0"/>
    <w:qFormat/>
    <w:uiPriority w:val="39"/>
    <w:pPr>
      <w:spacing w:before="0" w:lineRule="auto" w:line="276"/>
      <w:ind w:left="482" w:right="425"/>
    </w:pPr>
    <w:rPr/>
  </w:style>
  <w:style w:type="paragraph" w:styleId="style32">
    <w:name w:val="footer"/>
    <w:basedOn w:val="style0"/>
    <w:next w:val="style32"/>
    <w:link w:val="style4106"/>
    <w:uiPriority w:val="99"/>
    <w:pPr>
      <w:tabs>
        <w:tab w:val="center" w:leader="none" w:pos="4153"/>
        <w:tab w:val="right" w:leader="none" w:pos="8306"/>
      </w:tabs>
    </w:pPr>
    <w:rPr/>
  </w:style>
  <w:style w:type="character" w:customStyle="1" w:styleId="style4106">
    <w:name w:val="Footer Char_58d95672-17fb-4e4b-a37d-705b48f097fe"/>
    <w:basedOn w:val="style65"/>
    <w:next w:val="style4106"/>
    <w:link w:val="style32"/>
    <w:uiPriority w:val="99"/>
    <w:rPr>
      <w:rFonts w:ascii="Arial" w:cs="Times New Roman" w:eastAsia="Times New Roman" w:hAnsi="Arial"/>
      <w:sz w:val="24"/>
      <w:szCs w:val="24"/>
      <w:lang w:val="en-GB"/>
    </w:rPr>
  </w:style>
  <w:style w:type="paragraph" w:customStyle="1" w:styleId="style4107">
    <w:name w:val="Heading1 no number"/>
    <w:basedOn w:val="style1"/>
    <w:next w:val="style4107"/>
    <w:uiPriority w:val="99"/>
    <w:pPr>
      <w:numPr>
        <w:ilvl w:val="0"/>
        <w:numId w:val="0"/>
      </w:numPr>
    </w:pPr>
    <w:rPr>
      <w:szCs w:val="36"/>
    </w:rPr>
  </w:style>
  <w:style w:type="character" w:styleId="style41">
    <w:name w:val="page number"/>
    <w:basedOn w:val="style65"/>
    <w:next w:val="style41"/>
    <w:uiPriority w:val="99"/>
    <w:rPr>
      <w:rFonts w:cs="Times New Roman"/>
    </w:rPr>
  </w:style>
  <w:style w:type="character" w:styleId="style85">
    <w:name w:val="Hyperlink"/>
    <w:basedOn w:val="style65"/>
    <w:next w:val="style85"/>
    <w:uiPriority w:val="99"/>
    <w:rPr>
      <w:rFonts w:cs="Times New Roman"/>
      <w:color w:val="0000ff"/>
      <w:u w:val="single"/>
    </w:rPr>
  </w:style>
  <w:style w:type="paragraph" w:styleId="style34">
    <w:name w:val="caption"/>
    <w:basedOn w:val="style0"/>
    <w:next w:val="style0"/>
    <w:qFormat/>
    <w:uiPriority w:val="99"/>
    <w:pPr>
      <w:spacing w:after="120"/>
    </w:pPr>
    <w:rPr>
      <w:b/>
      <w:bCs/>
      <w:sz w:val="22"/>
      <w:szCs w:val="20"/>
    </w:rPr>
  </w:style>
  <w:style w:type="paragraph" w:styleId="style35">
    <w:name w:val="table of figures"/>
    <w:basedOn w:val="style0"/>
    <w:next w:val="style0"/>
    <w:uiPriority w:val="99"/>
    <w:pPr>
      <w:spacing w:lineRule="auto" w:line="240"/>
      <w:ind w:left="454" w:hanging="454"/>
    </w:pPr>
    <w:rPr/>
  </w:style>
  <w:style w:type="paragraph" w:styleId="style66">
    <w:name w:val="Body Text"/>
    <w:basedOn w:val="style0"/>
    <w:next w:val="style66"/>
    <w:link w:val="style4108"/>
    <w:uiPriority w:val="99"/>
    <w:pPr/>
  </w:style>
  <w:style w:type="character" w:customStyle="1" w:styleId="style4108">
    <w:name w:val="Body Text Char"/>
    <w:basedOn w:val="style65"/>
    <w:next w:val="style4108"/>
    <w:link w:val="style66"/>
    <w:uiPriority w:val="99"/>
    <w:rPr>
      <w:rFonts w:ascii="Arial" w:cs="Times New Roman" w:eastAsia="Times New Roman" w:hAnsi="Arial"/>
      <w:sz w:val="24"/>
      <w:szCs w:val="24"/>
      <w:lang w:val="en-GB"/>
    </w:rPr>
  </w:style>
  <w:style w:type="paragraph" w:styleId="style179">
    <w:name w:val="List Paragraph"/>
    <w:basedOn w:val="style0"/>
    <w:next w:val="style179"/>
    <w:qFormat/>
    <w:uiPriority w:val="34"/>
    <w:pPr>
      <w:spacing w:before="120"/>
      <w:ind w:left="720"/>
      <w:contextualSpacing/>
    </w:pPr>
    <w:rPr/>
  </w:style>
  <w:style w:type="table" w:styleId="style154">
    <w:name w:val="Table Grid"/>
    <w:basedOn w:val="style105"/>
    <w:next w:val="style154"/>
    <w:uiPriority w:val="59"/>
    <w:pPr>
      <w:spacing w:before="60" w:after="60" w:lineRule="auto" w:line="240"/>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customStyle="1" w:styleId="style4109">
    <w:name w:val="Table Text"/>
    <w:basedOn w:val="style0"/>
    <w:next w:val="style4109"/>
    <w:qFormat/>
    <w:pPr>
      <w:spacing w:before="60" w:after="60" w:lineRule="auto" w:line="240"/>
      <w:jc w:val="left"/>
    </w:pPr>
    <w:rPr/>
  </w:style>
  <w:style w:type="paragraph" w:customStyle="1" w:styleId="style4110">
    <w:name w:val="COVER PAGE TEXT"/>
    <w:basedOn w:val="style0"/>
    <w:next w:val="style4110"/>
    <w:qFormat/>
    <w:pPr>
      <w:spacing w:before="0" w:lineRule="auto" w:line="276"/>
      <w:jc w:val="center"/>
    </w:pPr>
    <w:rPr>
      <w:rFonts w:cs="Arial"/>
      <w:sz w:val="28"/>
      <w:szCs w:val="28"/>
    </w:rPr>
  </w:style>
  <w:style w:type="paragraph" w:customStyle="1" w:styleId="style4111">
    <w:name w:val="TABLE OF CONTENTS HEADING"/>
    <w:basedOn w:val="style0"/>
    <w:next w:val="style4111"/>
    <w:qFormat/>
    <w:pPr>
      <w:spacing w:before="0" w:after="240"/>
      <w:jc w:val="left"/>
    </w:pPr>
    <w:rPr>
      <w:b/>
      <w:sz w:val="32"/>
    </w:rPr>
  </w:style>
  <w:style w:type="paragraph" w:styleId="style31">
    <w:name w:val="header"/>
    <w:basedOn w:val="style0"/>
    <w:next w:val="style31"/>
    <w:link w:val="style4112"/>
    <w:uiPriority w:val="99"/>
    <w:pPr>
      <w:tabs>
        <w:tab w:val="center" w:leader="none" w:pos="4513"/>
        <w:tab w:val="right" w:leader="none" w:pos="9026"/>
      </w:tabs>
      <w:spacing w:before="0" w:lineRule="auto" w:line="240"/>
    </w:pPr>
    <w:rPr/>
  </w:style>
  <w:style w:type="character" w:customStyle="1" w:styleId="style4112">
    <w:name w:val="Header Char_b0199fb4-4be8-42d2-b409-54d1b43f711c"/>
    <w:basedOn w:val="style65"/>
    <w:next w:val="style4112"/>
    <w:link w:val="style31"/>
    <w:uiPriority w:val="99"/>
    <w:rPr>
      <w:rFonts w:ascii="Arial" w:cs="Times New Roman" w:eastAsia="Times New Roman" w:hAnsi="Arial"/>
      <w:sz w:val="24"/>
      <w:szCs w:val="24"/>
      <w:lang w:val="en-GB"/>
    </w:rPr>
  </w:style>
  <w:style w:type="paragraph" w:styleId="style62">
    <w:name w:val="Title"/>
    <w:basedOn w:val="style0"/>
    <w:next w:val="style0"/>
    <w:link w:val="style4113"/>
    <w:qFormat/>
    <w:uiPriority w:val="10"/>
    <w:pPr>
      <w:spacing w:before="0" w:lineRule="auto" w:line="240"/>
      <w:contextualSpacing/>
    </w:pPr>
    <w:rPr>
      <w:rFonts w:ascii="Calibri Light" w:cs="宋体" w:eastAsia="宋体" w:hAnsi="Calibri Light"/>
      <w:spacing w:val="-10"/>
      <w:kern w:val="28"/>
      <w:sz w:val="56"/>
      <w:szCs w:val="56"/>
    </w:rPr>
  </w:style>
  <w:style w:type="character" w:customStyle="1" w:styleId="style4113">
    <w:name w:val="Title Char_99f26f2f-5e0d-4018-b804-ac213dc8e130"/>
    <w:basedOn w:val="style65"/>
    <w:next w:val="style4113"/>
    <w:link w:val="style62"/>
    <w:uiPriority w:val="10"/>
    <w:rPr>
      <w:rFonts w:ascii="Calibri Light" w:cs="宋体" w:eastAsia="宋体" w:hAnsi="Calibri Light"/>
      <w:spacing w:val="-10"/>
      <w:kern w:val="28"/>
      <w:sz w:val="56"/>
      <w:szCs w:val="56"/>
      <w:lang w:val="en-GB"/>
    </w:rPr>
  </w:style>
  <w:style w:type="table" w:customStyle="1" w:styleId="style4114">
    <w:name w:val="Calendar 1"/>
    <w:basedOn w:val="style105"/>
    <w:next w:val="style4114"/>
    <w:qFormat/>
    <w:uiPriority w:val="99"/>
    <w:pPr>
      <w:spacing w:after="0" w:lineRule="auto" w:line="240"/>
    </w:pPr>
    <w:rPr>
      <w:rFonts w:eastAsia="宋体"/>
    </w:rPr>
    <w:tblPr>
      <w:tblStyleRowBandSize w:val="1"/>
      <w:tblStyleColBandSize w:val="1"/>
      <w:tblInd w:w="0" w:type="dxa"/>
      <w:shd w:val="clear" w:color="auto" w:fill="auto"/>
      <w:tblCellMar>
        <w:top w:w="0" w:type="dxa"/>
        <w:left w:w="108" w:type="dxa"/>
        <w:bottom w:w="0" w:type="dxa"/>
        <w:right w:w="108" w:type="dxa"/>
      </w:tblCellMar>
    </w:tblPr>
    <w:tblStylePr w:type="firstRow">
      <w:pPr>
        <w:wordWrap/>
        <w:spacing w:beforeAutospacing="false" w:afterAutospacing="false" w:lineRule="auto" w:line="240"/>
      </w:pPr>
      <w:rPr>
        <w:rFonts w:ascii="Calibri" w:hAnsi="Calibri"/>
        <w:b/>
        <w:i w:val="false"/>
        <w:color w:val="auto"/>
        <w:sz w:val="44"/>
      </w:rPr>
      <w:tblPr/>
      <w:tcPr>
        <w:tcBorders/>
        <w:vAlign w:val="bottom"/>
      </w:tcPr>
    </w:tblStylePr>
    <w:tblStylePr w:type="lastRow">
      <w:pPr/>
      <w:tblPr/>
      <w:tcPr>
        <w:tcBorders>
          <w:tl2br w:val="nil"/>
          <w:tr2bl w:val="nil"/>
          <w:top w:val="nil"/>
          <w:left w:val="nil"/>
          <w:bottom w:val="nil"/>
          <w:right w:val="nil"/>
          <w:insideH w:val="nil"/>
          <w:insideV w:val="nil"/>
        </w:tcBorders>
        <w:shd w:val="clear" w:color="auto" w:fill="auto"/>
      </w:tcPr>
    </w:tblStylePr>
    <w:tblStylePr w:type="band1Horz">
      <w:pPr/>
      <w:tblPr/>
      <w:tcPr>
        <w:tcBorders>
          <w:tl2br w:val="nil"/>
          <w:tr2bl w:val="nil"/>
          <w:top w:val="nil"/>
          <w:left w:val="nil"/>
          <w:bottom w:val="nil"/>
          <w:right w:val="nil"/>
          <w:insideH w:val="nil"/>
          <w:insideV w:val="nil"/>
        </w:tcBorders>
        <w:shd w:val="clear" w:color="auto" w:fill="auto"/>
      </w:tcPr>
    </w:tblStylePr>
    <w:tblStylePr w:type="band2Horz">
      <w:pPr/>
      <w:tblPr/>
      <w:tcPr>
        <w:tcBorders>
          <w:tl2br w:val="nil"/>
          <w:tr2bl w:val="nil"/>
          <w:top w:val="single" w:sz="24" w:space="0" w:color="000000"/>
          <w:left w:val="nil"/>
          <w:bottom w:val="single" w:sz="24" w:space="0" w:color="000000"/>
          <w:right w:val="nil"/>
          <w:insideH w:val="nil"/>
          <w:insideV w:val="nil"/>
        </w:tcBorders>
        <w:shd w:val="clear" w:color="auto" w:fill="auto"/>
      </w:tcPr>
    </w:tblStylePr>
    <w:tcPr>
      <w:tcBorders/>
      <w:shd w:val="clear" w:color="auto" w:fill="auto"/>
    </w:tcPr>
  </w:style>
  <w:style w:type="paragraph" w:customStyle="1" w:styleId="style4115">
    <w:name w:val="Decimal Aligned"/>
    <w:basedOn w:val="style0"/>
    <w:next w:val="style4115"/>
    <w:qFormat/>
    <w:uiPriority w:val="40"/>
    <w:pPr>
      <w:tabs>
        <w:tab w:val="decimal" w:leader="none" w:pos="360"/>
      </w:tabs>
      <w:spacing w:before="0" w:after="200" w:lineRule="auto" w:line="276"/>
      <w:jc w:val="left"/>
    </w:pPr>
    <w:rPr>
      <w:rFonts w:ascii="Calibri" w:eastAsia="宋体" w:hAnsi="Calibri"/>
      <w:sz w:val="22"/>
      <w:szCs w:val="22"/>
      <w:lang w:val="en-US"/>
    </w:rPr>
  </w:style>
  <w:style w:type="paragraph" w:styleId="style29">
    <w:name w:val="footnote text"/>
    <w:basedOn w:val="style0"/>
    <w:next w:val="style29"/>
    <w:link w:val="style4116"/>
    <w:uiPriority w:val="99"/>
    <w:pPr>
      <w:spacing w:before="0" w:lineRule="auto" w:line="240"/>
      <w:jc w:val="left"/>
    </w:pPr>
    <w:rPr>
      <w:rFonts w:ascii="Calibri" w:eastAsia="宋体" w:hAnsi="Calibri"/>
      <w:sz w:val="20"/>
      <w:szCs w:val="20"/>
      <w:lang w:val="en-US"/>
    </w:rPr>
  </w:style>
  <w:style w:type="character" w:customStyle="1" w:styleId="style4116">
    <w:name w:val="Footnote Text Char"/>
    <w:basedOn w:val="style65"/>
    <w:next w:val="style4116"/>
    <w:link w:val="style29"/>
    <w:uiPriority w:val="99"/>
    <w:rPr>
      <w:rFonts w:cs="Times New Roman" w:eastAsia="宋体"/>
      <w:sz w:val="20"/>
      <w:szCs w:val="20"/>
    </w:rPr>
  </w:style>
  <w:style w:type="character" w:styleId="style260">
    <w:name w:val="Subtle Emphasis"/>
    <w:basedOn w:val="style65"/>
    <w:next w:val="style260"/>
    <w:qFormat/>
    <w:uiPriority w:val="19"/>
    <w:rPr>
      <w:i/>
      <w:iCs/>
    </w:rPr>
  </w:style>
  <w:style w:type="table" w:styleId="style172">
    <w:name w:val="Light Shading Accent 1"/>
    <w:basedOn w:val="style105"/>
    <w:next w:val="style172"/>
    <w:uiPriority w:val="60"/>
    <w:pPr>
      <w:spacing w:after="0" w:lineRule="auto" w:line="240"/>
    </w:pPr>
    <w:rPr>
      <w:rFonts w:eastAsia="宋体"/>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Rule="auto" w:line="240"/>
      </w:pPr>
      <w:rPr>
        <w:b/>
        <w:bCs/>
      </w:rPr>
      <w:tblPr/>
      <w:tcPr>
        <w:tcBorders>
          <w:top w:val="single" w:sz="8" w:space="0" w:color="5b9bd5"/>
          <w:left w:val="nil"/>
          <w:bottom w:val="single" w:sz="8" w:space="0" w:color="5b9bd5"/>
          <w:right w:val="nil"/>
          <w:insideH w:val="nil"/>
          <w:insideV w:val="nil"/>
        </w:tcBorders>
      </w:tcPr>
    </w:tblStylePr>
    <w:tblStylePr w:type="band1Horz">
      <w:pPr/>
      <w:tblPr/>
      <w:tcPr>
        <w:tcBorders>
          <w:left w:val="nil"/>
          <w:right w:val="nil"/>
          <w:insideH w:val="nil"/>
          <w:insideV w:val="nil"/>
        </w:tcBorders>
        <w:shd w:val="clear" w:color="auto" w:fill="d6e6f4"/>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d6e6f4"/>
      </w:tcPr>
    </w:tblStylePr>
    <w:tcPr>
      <w:tcBorders/>
    </w:tcPr>
  </w:style>
  <w:style w:type="character" w:styleId="style156">
    <w:name w:val="Placeholder Text"/>
    <w:basedOn w:val="style65"/>
    <w:next w:val="style156"/>
    <w:uiPriority w:val="99"/>
    <w:rPr>
      <w:color w:val="808080"/>
    </w:rPr>
  </w:style>
  <w:style w:type="paragraph" w:styleId="style153">
    <w:name w:val="Balloon Text"/>
    <w:basedOn w:val="style0"/>
    <w:next w:val="style153"/>
    <w:link w:val="style4117"/>
    <w:uiPriority w:val="99"/>
    <w:pPr>
      <w:spacing w:before="0" w:lineRule="auto" w:line="240"/>
    </w:pPr>
    <w:rPr>
      <w:rFonts w:ascii="Tahoma" w:cs="Tahoma" w:hAnsi="Tahoma"/>
      <w:sz w:val="16"/>
      <w:szCs w:val="16"/>
    </w:rPr>
  </w:style>
  <w:style w:type="character" w:customStyle="1" w:styleId="style4117">
    <w:name w:val="Balloon Text Char"/>
    <w:basedOn w:val="style65"/>
    <w:next w:val="style4117"/>
    <w:link w:val="style153"/>
    <w:uiPriority w:val="99"/>
    <w:rPr>
      <w:rFonts w:ascii="Tahoma" w:cs="Tahoma" w:eastAsia="Times New Roman" w:hAnsi="Tahoma"/>
      <w:sz w:val="16"/>
      <w:szCs w:val="16"/>
      <w:lang w:val="en-GB"/>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image" Target="media/image4.png"/><Relationship Id="rId10" Type="http://schemas.openxmlformats.org/officeDocument/2006/relationships/fontTable" Target="fontTable.xml"/><Relationship Id="rId8" Type="http://schemas.openxmlformats.org/officeDocument/2006/relationships/header" Target="header2.xml"/><Relationship Id="rId12" Type="http://schemas.openxmlformats.org/officeDocument/2006/relationships/theme" Target="theme/theme1.xml"/><Relationship Id="rId13" Type="http://schemas.openxmlformats.org/officeDocument/2006/relationships/customXml" Target="../customXml/item1.xml"/><Relationship Id="rId4" Type="http://schemas.openxmlformats.org/officeDocument/2006/relationships/image" Target="media/image3.png"/><Relationship Id="rId3" Type="http://schemas.openxmlformats.org/officeDocument/2006/relationships/image" Target="media/image2.png"/><Relationship Id="rId9" Type="http://schemas.openxmlformats.org/officeDocument/2006/relationships/styles" Target="styles.xml"/><Relationship Id="rId6" Type="http://schemas.openxmlformats.org/officeDocument/2006/relationships/image" Target="media/image5.png"/><Relationship Id="rId11"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1928F-C821-41C4-9FDB-DFD241339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Words>1982</Words>
  <Characters>10645</Characters>
  <Application>WPS Office</Application>
  <DocSecurity>0</DocSecurity>
  <Paragraphs>73</Paragraphs>
  <ScaleCrop>false</ScaleCrop>
  <LinksUpToDate>false</LinksUpToDate>
  <CharactersWithSpaces>12616</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2017-11-09T04:52:00Z</dcterms:created>
  <dc:creator>Abims</dc:creator>
  <lastModifiedBy>Infinix-X600</lastModifiedBy>
  <dcterms:modified xsi:type="dcterms:W3CDTF">2017-11-13T21:23:44Z</dcterms:modified>
  <revision>53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917dbbb9-97c4-374a-9e30-1c43e62314d4</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