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A2" w:rsidRPr="000047A2" w:rsidRDefault="000047A2">
      <w:r w:rsidRPr="000047A2">
        <w:t xml:space="preserve">Name: </w:t>
      </w:r>
      <w:proofErr w:type="spellStart"/>
      <w:r w:rsidRPr="000047A2">
        <w:t>Ubanagu</w:t>
      </w:r>
      <w:proofErr w:type="spellEnd"/>
      <w:r w:rsidRPr="000047A2">
        <w:t xml:space="preserve"> </w:t>
      </w:r>
      <w:proofErr w:type="spellStart"/>
      <w:r w:rsidRPr="000047A2">
        <w:t>Chinaza</w:t>
      </w:r>
      <w:proofErr w:type="spellEnd"/>
      <w:r w:rsidRPr="000047A2">
        <w:br/>
        <w:t>Department: Industrial Chemistry</w:t>
      </w:r>
      <w:r w:rsidRPr="000047A2">
        <w:br/>
        <w:t>Level: 300</w:t>
      </w:r>
      <w:r w:rsidRPr="000047A2">
        <w:br/>
      </w:r>
      <w:proofErr w:type="spellStart"/>
      <w:r w:rsidRPr="000047A2">
        <w:t>Matric</w:t>
      </w:r>
      <w:proofErr w:type="spellEnd"/>
      <w:r w:rsidRPr="000047A2">
        <w:t>. No: 15/SCI09/006</w:t>
      </w:r>
      <w:r w:rsidRPr="000047A2">
        <w:br/>
        <w:t>Course Code: CHM 341</w:t>
      </w:r>
      <w:r w:rsidRPr="000047A2">
        <w:br/>
        <w:t>Course Name: Electrochemistry</w:t>
      </w:r>
    </w:p>
    <w:p w:rsidR="000047A2" w:rsidRPr="000047A2" w:rsidRDefault="000047A2">
      <w:r w:rsidRPr="000047A2">
        <w:t xml:space="preserve">                        APPLICATIONS OF EMF MEASUREMENTS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color w:val="FFFFFF" w:themeColor="background1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br/>
      </w:r>
      <w:proofErr w:type="spellStart"/>
      <w:r w:rsidRPr="000047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0047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Determination of Equilibrium Constant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Measurement of the standard EMF of the cell,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E°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Cell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, enables one to evaluate the equilibrium constant for the electrode reaction.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The relation between the standard free energy change and the equilibrium constant of a reaction is given by: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 -RT 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But the standard free energy is related to the standard electrode potential by the expression: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 -nE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Hence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 In K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At 298K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 log K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Exercise 4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For the following electrochemical cell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Zn/Zn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2+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//Fe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3+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,Fe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2</w:t>
      </w:r>
      <w:proofErr w:type="gram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/Pt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Whose standard EMF is 1 .534V, the overall cell reaction is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Fe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3 +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+ 1/2Zn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 Fe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2</w:t>
      </w:r>
      <w:proofErr w:type="gram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+1/2 Zn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2+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ii) Determination of Solubility Products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This is a useful technique to evaluate the solubility product of sparingly soluble salt such as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AgCI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saturated solution of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water is so dilute that it is completely ionized as: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(s</w:t>
      </w:r>
      <w:proofErr w:type="gram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</w:t>
      </w:r>
      <w:proofErr w:type="gram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aq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+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aq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 (9)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The solubility product is given by: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x 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C1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          (10)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solutions of high dilution   and activity may be replaced by concentration.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for AgC1 may be determined from EMF measurements by employing a suitable cell whose overall cell reaction will be that given by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eqn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 above. A suitable cell would be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(s)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/Ag</w:t>
      </w:r>
      <w:proofErr w:type="gramStart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</w:t>
      </w:r>
      <w:proofErr w:type="spellStart"/>
      <w:proofErr w:type="gram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aq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//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aq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AgCI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(s)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/Ag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Left electrode:                        Ag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+ e                              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 -0.799V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Right electrode:          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AgCI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+ e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  Ag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+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u w:val="single"/>
          <w:vertAlign w:val="superscript"/>
          <w:lang w:val="en-GB"/>
        </w:rPr>
        <w:t>-                       </w:t>
      </w:r>
      <w:r w:rsidRPr="000047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E° = +0.2225V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Overall:                      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+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                                               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E°cell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-0.5765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The cell EMF is given by: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E=E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proofErr w:type="gramStart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 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— In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x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E=E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proofErr w:type="gramStart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-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— In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equilibrium the cell would not be able to perform any useful work and hence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Cell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 0.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We also know that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 -nE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 = -RT 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or</w:t>
      </w:r>
      <w:proofErr w:type="gram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= In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At 298K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E°=0.0591 log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Log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Therefore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 1.76 x 10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-10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mol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dm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-6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solubility of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may be evaluated from the solubility product. Since the concentration of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equals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of C1, we may write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[Ag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]= [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] = (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sp</w:t>
      </w:r>
      <w:proofErr w:type="spellEnd"/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1</w:t>
      </w:r>
      <w:proofErr w:type="gram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/2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 (1.76 x 10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-10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1/2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Hence the solubility of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1.32 x 10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-5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mol dm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-3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iii) Determination of pH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One of the mo</w:t>
      </w:r>
      <w:r w:rsidR="00C64369">
        <w:rPr>
          <w:rFonts w:ascii="Times New Roman" w:eastAsia="Times New Roman" w:hAnsi="Times New Roman" w:cs="Times New Roman"/>
          <w:sz w:val="24"/>
          <w:szCs w:val="24"/>
          <w:lang w:val="en-GB"/>
        </w:rPr>
        <w:t>st important applications of EMF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measurements is the determination of the pH of solution. In principle, the activity of hydrogen ions or the concentration of hydrogen ions can be determined by setting a cell in which one of the electrodes is reversible to hydrogen ions.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In practice the hydrogen electrode is combined with another reference electrode such as standard hydrogen electrode (SHE) or a saturated calomel electrode (SCE) or any other reference electrode. ..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For the single hydrogen electrode Pt/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1atm)/H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, the electrode reaction is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1/2H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+e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The electrode potential is given by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E=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 In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                   since</w:t>
      </w:r>
      <w:r w:rsidRPr="000047A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 E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° 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 0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By definition pH = -log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10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Hence the above equation becomes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 = + (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)pH</w:t>
      </w:r>
      <w:proofErr w:type="gram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At 298K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E=+0.0591pH                                                                                                 (11)</w:t>
      </w:r>
    </w:p>
    <w:p w:rsidR="000047A2" w:rsidRPr="000047A2" w:rsidRDefault="00C64369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Thus the EMF</w:t>
      </w:r>
      <w:r w:rsidR="000047A2"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cell is linearly dependent on the pH value of the solution. The hydrogen electrode may be combined with a reference calomel electrode to obtain the cell;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Pt/H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(1atm)/H</w:t>
      </w:r>
      <w:proofErr w:type="gramStart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1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)//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(a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)/Hg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 Hg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As seen from above the potential of the hydrogen electrode is given by: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 In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Since the calomel electrode is a reference electrode its potential will be constant and hence its potential may simply be referred to as reference</w:t>
      </w:r>
      <w:r w:rsidR="00C643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potential written as E. The EMF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cell is given by;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cell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 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R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– 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L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       =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ref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– 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H2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=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ref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-0.0591 log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+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      =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ref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+ 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0.0591 pH</w:t>
      </w:r>
      <w:proofErr w:type="gram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pH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  at 298K                                                                                                 (12)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Thus by measuring the EMF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 cell such as the one given above which has a reference electrode of known potential, the pH of the solution can be determined.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gramStart"/>
      <w:r w:rsidRPr="000047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iv) Determination</w:t>
      </w:r>
      <w:proofErr w:type="gramEnd"/>
      <w:r w:rsidRPr="000047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of Activity Coefficients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Consider a cell where a silver-silver chloride electrode is combined with a hydrogen electrode to give the following cell: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Pt/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1atm)/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HCl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(m)/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/Ag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The overall cell reaction of the above cell is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1/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2H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2(</w:t>
      </w:r>
      <w:proofErr w:type="gram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g)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+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(s)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Ag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(s)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+ 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aq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+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(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aq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)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Emf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cell is: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 =E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R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–E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L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Ag/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– 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/H2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-                                           (13)                          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By definition E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0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H+/H2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=0, and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=1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Also (P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1/2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 1 since P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=1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atm</w:t>
      </w:r>
      <w:proofErr w:type="spell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Hence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E=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E°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/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 In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-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(14)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                                                                                                                     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The mean activity 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±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of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HCl</w:t>
      </w:r>
      <w:proofErr w:type="spell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defined as: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±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perscript"/>
          <w:lang w:val="en-GB"/>
        </w:rPr>
        <w:t>2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H+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-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proofErr w:type="gramEnd"/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±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=m</w:t>
      </w:r>
      <w:r w:rsidRPr="000047A2">
        <w:rPr>
          <w:rFonts w:ascii="Times New Roman" w:eastAsia="Times New Roman" w:hAnsi="Times New Roman" w:cs="Times New Roman"/>
          <w:sz w:val="15"/>
          <w:szCs w:val="15"/>
          <w:u w:val="single"/>
          <w:vertAlign w:val="subscript"/>
          <w:lang w:val="en-GB"/>
        </w:rPr>
        <w:t>+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where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± is the mean activity coefficient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E=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E°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/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 In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m-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     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In±                                                                  (15)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Directly measurable quantities are rearranged on the left to give: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+ In m=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E°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/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 In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±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 (16)    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At298K</w:t>
      </w: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E+0.1181og m=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E°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/</w:t>
      </w:r>
      <w:proofErr w:type="spellStart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AgCl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- 0.1181og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±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                                                (17)</w:t>
      </w:r>
    </w:p>
    <w:p w:rsidR="000047A2" w:rsidRPr="000047A2" w:rsidRDefault="000047A2" w:rsidP="0000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7A2" w:rsidRPr="000047A2" w:rsidRDefault="000047A2" w:rsidP="000047A2">
      <w:pPr>
        <w:shd w:val="clear" w:color="auto" w:fill="FFF0F2"/>
        <w:spacing w:after="0" w:line="282" w:lineRule="atLeast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By measuring the EMF of the cell at different molar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ities of hydrochloric acid, the quantity (E+0.1181og 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m )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 be calculated at various molar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ities. If we 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plot(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E+0.1181og m ) against m and extrapolate  to zero m, we determine the value of  E° because at zero m</w:t>
      </w:r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± 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unity so </w:t>
      </w:r>
      <w:proofErr w:type="spell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ln</w:t>
      </w:r>
      <w:proofErr w:type="spellEnd"/>
      <w:r w:rsidRPr="000047A2">
        <w:rPr>
          <w:rFonts w:ascii="Times New Roman" w:eastAsia="Times New Roman" w:hAnsi="Times New Roman" w:cs="Times New Roman"/>
          <w:sz w:val="15"/>
          <w:szCs w:val="15"/>
          <w:vertAlign w:val="subscript"/>
          <w:lang w:val="en-GB"/>
        </w:rPr>
        <w:t>±</w:t>
      </w:r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= 0. Once we know the value of</w:t>
      </w:r>
      <w:proofErr w:type="gramStart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  E</w:t>
      </w:r>
      <w:proofErr w:type="gramEnd"/>
      <w:r w:rsidRPr="000047A2">
        <w:rPr>
          <w:rFonts w:ascii="Times New Roman" w:eastAsia="Times New Roman" w:hAnsi="Times New Roman" w:cs="Times New Roman"/>
          <w:sz w:val="24"/>
          <w:szCs w:val="24"/>
          <w:lang w:val="en-GB"/>
        </w:rPr>
        <w:t>°, the mean activity coefficient can be found at a particular value of m.    </w:t>
      </w:r>
    </w:p>
    <w:p w:rsidR="000047A2" w:rsidRPr="000047A2" w:rsidRDefault="000047A2"/>
    <w:p w:rsidR="000047A2" w:rsidRPr="000047A2" w:rsidRDefault="000047A2">
      <w:r w:rsidRPr="000047A2">
        <w:t xml:space="preserve">        </w:t>
      </w:r>
    </w:p>
    <w:sectPr w:rsidR="000047A2" w:rsidRPr="000047A2" w:rsidSect="0000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047A2"/>
    <w:rsid w:val="000040EF"/>
    <w:rsid w:val="000047A2"/>
    <w:rsid w:val="00601B37"/>
    <w:rsid w:val="00AF08D9"/>
    <w:rsid w:val="00C64369"/>
    <w:rsid w:val="00E1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2017-11-18T11:09:00Z</dcterms:created>
  <dcterms:modified xsi:type="dcterms:W3CDTF">2017-11-18T11:20:00Z</dcterms:modified>
</cp:coreProperties>
</file>