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b/>
          <w:sz w:val="36"/>
          <w:szCs w:val="26"/>
        </w:rPr>
      </w:pPr>
      <w:r>
        <w:rPr>
          <w:b/>
          <w:sz w:val="36"/>
          <w:szCs w:val="26"/>
        </w:rPr>
        <w:t>NA</w:t>
      </w:r>
      <w:r>
        <w:rPr>
          <w:b/>
          <w:sz w:val="36"/>
          <w:szCs w:val="26"/>
        </w:rPr>
        <w:t xml:space="preserve">ME: </w:t>
      </w:r>
      <w:r>
        <w:rPr>
          <w:b/>
          <w:sz w:val="36"/>
          <w:szCs w:val="26"/>
        </w:rPr>
        <w:t>DUKE TONBRA JAME</w:t>
      </w:r>
      <w:r>
        <w:rPr>
          <w:b/>
          <w:sz w:val="36"/>
          <w:szCs w:val="26"/>
        </w:rPr>
        <w:t>S</w:t>
      </w:r>
    </w:p>
    <w:p>
      <w:pPr>
        <w:pStyle w:val="style0"/>
        <w:rPr>
          <w:b/>
          <w:sz w:val="36"/>
          <w:szCs w:val="26"/>
        </w:rPr>
      </w:pPr>
      <w:r>
        <w:rPr>
          <w:b/>
          <w:sz w:val="36"/>
          <w:szCs w:val="26"/>
        </w:rPr>
        <w:t>DEPARTMENT: PETROLEUM ENGINEERING</w:t>
      </w:r>
    </w:p>
    <w:p>
      <w:pPr>
        <w:pStyle w:val="style0"/>
        <w:rPr>
          <w:b/>
          <w:sz w:val="36"/>
          <w:szCs w:val="26"/>
        </w:rPr>
      </w:pPr>
      <w:r>
        <w:rPr>
          <w:b/>
          <w:sz w:val="36"/>
          <w:szCs w:val="26"/>
        </w:rPr>
        <w:t>LEVEL: 300</w:t>
      </w:r>
    </w:p>
    <w:p>
      <w:pPr>
        <w:pStyle w:val="style0"/>
        <w:rPr>
          <w:b/>
          <w:sz w:val="36"/>
          <w:szCs w:val="26"/>
        </w:rPr>
      </w:pPr>
      <w:r>
        <w:rPr>
          <w:b/>
          <w:sz w:val="36"/>
          <w:szCs w:val="26"/>
        </w:rPr>
        <w:t>MATRIC NUMBER: 15/ENG07/0</w:t>
      </w:r>
      <w:r>
        <w:rPr>
          <w:b/>
          <w:sz w:val="36"/>
          <w:szCs w:val="26"/>
        </w:rPr>
        <w:t>12</w:t>
      </w:r>
    </w:p>
    <w:p>
      <w:pPr>
        <w:pStyle w:val="style0"/>
        <w:rPr>
          <w:b/>
          <w:sz w:val="36"/>
          <w:szCs w:val="26"/>
        </w:rPr>
      </w:pPr>
    </w:p>
    <w:p>
      <w:pPr>
        <w:pStyle w:val="style0"/>
        <w:rPr>
          <w:sz w:val="26"/>
          <w:szCs w:val="26"/>
        </w:rPr>
      </w:pPr>
    </w:p>
    <w:p>
      <w:pPr>
        <w:pStyle w:val="style0"/>
        <w:rPr>
          <w:sz w:val="26"/>
          <w:szCs w:val="26"/>
        </w:rPr>
      </w:pPr>
    </w:p>
    <w:p>
      <w:pPr>
        <w:pStyle w:val="style0"/>
        <w:rPr>
          <w:sz w:val="26"/>
          <w:szCs w:val="26"/>
        </w:rPr>
      </w:pPr>
    </w:p>
    <w:p>
      <w:pPr>
        <w:pStyle w:val="style0"/>
        <w:rPr>
          <w:sz w:val="26"/>
          <w:szCs w:val="26"/>
        </w:rPr>
      </w:pPr>
    </w:p>
    <w:p>
      <w:pPr>
        <w:pStyle w:val="style0"/>
        <w:rPr>
          <w:sz w:val="26"/>
          <w:szCs w:val="26"/>
        </w:rPr>
      </w:pPr>
    </w:p>
    <w:p>
      <w:pPr>
        <w:pStyle w:val="style0"/>
        <w:rPr>
          <w:sz w:val="26"/>
          <w:szCs w:val="26"/>
        </w:rPr>
      </w:pPr>
    </w:p>
    <w:p>
      <w:pPr>
        <w:pStyle w:val="style0"/>
        <w:rPr>
          <w:sz w:val="40"/>
          <w:szCs w:val="26"/>
        </w:rPr>
      </w:pPr>
      <w:r>
        <w:rPr>
          <w:sz w:val="26"/>
          <w:szCs w:val="26"/>
        </w:rPr>
        <w:br w:type="page"/>
      </w:r>
      <w:bookmarkStart w:id="0" w:name="_GoBack"/>
      <w:bookmarkEnd w:id="0"/>
      <w:r>
        <w:rPr>
          <w:sz w:val="26"/>
          <w:szCs w:val="26"/>
        </w:rPr>
        <w:t xml:space="preserve"> </w:t>
      </w:r>
      <w:r>
        <w:rPr>
          <w:b/>
          <w:sz w:val="40"/>
          <w:szCs w:val="26"/>
        </w:rPr>
        <w:t>Assignment Question;</w:t>
      </w:r>
    </w:p>
    <w:p>
      <w:pPr>
        <w:pStyle w:val="style179"/>
        <w:numPr>
          <w:ilvl w:val="0"/>
          <w:numId w:val="1"/>
        </w:numPr>
        <w:rPr>
          <w:b/>
          <w:sz w:val="26"/>
          <w:szCs w:val="26"/>
        </w:rPr>
      </w:pPr>
      <w:r>
        <w:rPr>
          <w:b/>
          <w:sz w:val="26"/>
          <w:szCs w:val="26"/>
        </w:rPr>
        <w:t>What is Nigeria’s proven crude oil reserve?</w:t>
      </w:r>
    </w:p>
    <w:p>
      <w:pPr>
        <w:pStyle w:val="style179"/>
        <w:rPr>
          <w:b/>
          <w:sz w:val="26"/>
          <w:szCs w:val="26"/>
        </w:rPr>
      </w:pPr>
    </w:p>
    <w:p>
      <w:pPr>
        <w:pStyle w:val="style179"/>
        <w:numPr>
          <w:ilvl w:val="0"/>
          <w:numId w:val="1"/>
        </w:numPr>
        <w:rPr>
          <w:b/>
          <w:sz w:val="26"/>
          <w:szCs w:val="26"/>
        </w:rPr>
      </w:pPr>
      <w:r>
        <w:rPr>
          <w:b/>
          <w:sz w:val="26"/>
          <w:szCs w:val="26"/>
        </w:rPr>
        <w:t>What is Ghana’s proven crude oil reserve?</w:t>
      </w:r>
    </w:p>
    <w:p>
      <w:pPr>
        <w:pStyle w:val="style179"/>
        <w:rPr>
          <w:b/>
          <w:sz w:val="26"/>
          <w:szCs w:val="26"/>
        </w:rPr>
      </w:pPr>
    </w:p>
    <w:p>
      <w:pPr>
        <w:pStyle w:val="style179"/>
        <w:numPr>
          <w:ilvl w:val="0"/>
          <w:numId w:val="1"/>
        </w:numPr>
        <w:rPr>
          <w:b/>
          <w:sz w:val="26"/>
          <w:szCs w:val="26"/>
        </w:rPr>
      </w:pPr>
      <w:r>
        <w:rPr>
          <w:b/>
          <w:sz w:val="26"/>
          <w:szCs w:val="26"/>
        </w:rPr>
        <w:t>What is West Africa’s proven crude oil reserve?</w:t>
      </w:r>
    </w:p>
    <w:p>
      <w:pPr>
        <w:pStyle w:val="style179"/>
        <w:rPr>
          <w:sz w:val="26"/>
          <w:szCs w:val="26"/>
        </w:rPr>
      </w:pPr>
    </w:p>
    <w:p>
      <w:pPr>
        <w:pStyle w:val="style179"/>
        <w:rPr>
          <w:sz w:val="26"/>
          <w:szCs w:val="26"/>
        </w:rPr>
      </w:pPr>
    </w:p>
    <w:p>
      <w:pPr>
        <w:pStyle w:val="style179"/>
        <w:rPr>
          <w:sz w:val="26"/>
          <w:szCs w:val="26"/>
        </w:rPr>
      </w:pPr>
    </w:p>
    <w:p>
      <w:pPr>
        <w:pStyle w:val="style179"/>
        <w:rPr>
          <w:sz w:val="26"/>
          <w:szCs w:val="26"/>
        </w:rPr>
      </w:pPr>
    </w:p>
    <w:p>
      <w:pPr>
        <w:pStyle w:val="style179"/>
        <w:rPr>
          <w:b/>
          <w:sz w:val="28"/>
          <w:szCs w:val="26"/>
        </w:rPr>
      </w:pPr>
    </w:p>
    <w:p>
      <w:pPr>
        <w:pStyle w:val="style0"/>
        <w:rPr>
          <w:b/>
          <w:sz w:val="28"/>
          <w:szCs w:val="26"/>
        </w:rPr>
      </w:pPr>
      <w:r>
        <w:rPr>
          <w:b/>
          <w:sz w:val="28"/>
          <w:szCs w:val="26"/>
        </w:rPr>
        <w:t>Crude Oil Proven Reserve Definition:</w:t>
      </w:r>
      <w:r>
        <w:rPr>
          <w:b/>
          <w:sz w:val="28"/>
          <w:szCs w:val="26"/>
        </w:rPr>
        <w:t xml:space="preserve">  </w:t>
      </w:r>
      <w:r>
        <w:rPr>
          <w:b/>
          <w:sz w:val="28"/>
          <w:szCs w:val="26"/>
        </w:rPr>
        <w:t xml:space="preserve">Oil </w:t>
      </w:r>
      <w:r>
        <w:rPr>
          <w:b/>
          <w:sz w:val="28"/>
          <w:szCs w:val="26"/>
        </w:rPr>
        <w:t>reserve are</w:t>
      </w:r>
      <w:r>
        <w:rPr>
          <w:b/>
          <w:sz w:val="28"/>
          <w:szCs w:val="26"/>
        </w:rPr>
        <w:t xml:space="preserve"> the amount of technically and economically recoverable oil. Reserves may be for well, for a reservoir, for a field, for a nation, or for the world. Different </w:t>
      </w:r>
      <w:r>
        <w:rPr>
          <w:b/>
          <w:sz w:val="28"/>
          <w:szCs w:val="26"/>
        </w:rPr>
        <w:t>classification of reserves are</w:t>
      </w:r>
      <w:r>
        <w:rPr>
          <w:b/>
          <w:sz w:val="28"/>
          <w:szCs w:val="26"/>
        </w:rPr>
        <w:t xml:space="preserve"> related to their degree of certainty. The t</w:t>
      </w:r>
      <w:r>
        <w:rPr>
          <w:b/>
          <w:sz w:val="28"/>
          <w:szCs w:val="26"/>
        </w:rPr>
        <w:t xml:space="preserve">otal estimated amount of oil in an oil reservoir, including </w:t>
      </w:r>
      <w:r>
        <w:rPr>
          <w:b/>
          <w:sz w:val="28"/>
          <w:szCs w:val="26"/>
        </w:rPr>
        <w:t>both producible oil,</w:t>
      </w:r>
      <w:r>
        <w:rPr>
          <w:b/>
          <w:sz w:val="28"/>
          <w:szCs w:val="26"/>
        </w:rPr>
        <w:t xml:space="preserve"> is called oil in place. However, because of reservoir characteristic and limitations in petroleum extraction technologies, only a fraction of </w:t>
      </w:r>
      <w:r>
        <w:rPr>
          <w:b/>
          <w:sz w:val="28"/>
          <w:szCs w:val="26"/>
        </w:rPr>
        <w:t>this oil can be brought to the surface, and it is only this producible fraction that is considered to be reserves. The ratio of producible oil reserves to total oil in place for a given field is often referred to as the recovery factor. The recovery facto r of any particular field may change over time based on operating history and in response to changes in technology and economics. The recovery factor may also rise over time if additional investment is made in enhanced oil recovery techniques such as gas injection, surfac</w:t>
      </w:r>
      <w:r>
        <w:rPr>
          <w:b/>
          <w:sz w:val="28"/>
          <w:szCs w:val="26"/>
        </w:rPr>
        <w:t>tant injection, water-flooding, or microbial enhance oil recovery.</w:t>
      </w:r>
    </w:p>
    <w:p>
      <w:pPr>
        <w:pStyle w:val="style0"/>
        <w:rPr>
          <w:b/>
          <w:sz w:val="28"/>
          <w:szCs w:val="26"/>
        </w:rPr>
      </w:pPr>
      <w:r>
        <w:rPr>
          <w:b/>
          <w:sz w:val="28"/>
          <w:szCs w:val="26"/>
        </w:rPr>
        <w:t>Proven reserves are those reserves claimed to have a reasonable certainty (normally at least 90% confidence) of being recoverable under existing economic and political conditions, with existing technology. Industry specialists refer to this as P90 (</w:t>
      </w:r>
      <w:r>
        <w:rPr>
          <w:b/>
          <w:sz w:val="28"/>
          <w:szCs w:val="26"/>
        </w:rPr>
        <w:t>i.e</w:t>
      </w:r>
      <w:r>
        <w:rPr>
          <w:b/>
          <w:sz w:val="28"/>
          <w:szCs w:val="26"/>
        </w:rPr>
        <w:t xml:space="preserve"> ,</w:t>
      </w:r>
      <w:r>
        <w:rPr>
          <w:b/>
          <w:sz w:val="28"/>
          <w:szCs w:val="26"/>
        </w:rPr>
        <w:t xml:space="preserve"> having a 90% certainty of being produced) proven reserves are also known in the industry as 1P.</w:t>
      </w: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r>
        <w:rPr>
          <w:b/>
          <w:sz w:val="28"/>
          <w:szCs w:val="26"/>
        </w:rPr>
        <w:t>THE NIGERIA PROVEN CRUDE OIL RESERVES</w:t>
      </w:r>
    </w:p>
    <w:p>
      <w:pPr>
        <w:pStyle w:val="style0"/>
        <w:rPr>
          <w:b/>
          <w:sz w:val="28"/>
          <w:szCs w:val="26"/>
        </w:rPr>
      </w:pPr>
      <w:r>
        <w:rPr>
          <w:b/>
          <w:sz w:val="28"/>
          <w:szCs w:val="26"/>
        </w:rPr>
        <w:t>Nigeria is the most populous country in Africa. The united national estimates that the population in 2009 was at 154,729,000, distributed as 51.7% rural and 48.3% urban, and with a population density of 167.5 people per square kilometer. Nigeria is the largest producer of petroleum in the world and also</w:t>
      </w:r>
      <w:r>
        <w:rPr>
          <w:b/>
          <w:sz w:val="28"/>
          <w:szCs w:val="26"/>
        </w:rPr>
        <w:t xml:space="preserve"> po</w:t>
      </w:r>
      <w:r>
        <w:rPr>
          <w:b/>
          <w:sz w:val="28"/>
          <w:szCs w:val="26"/>
        </w:rPr>
        <w:t>ssesses th</w:t>
      </w:r>
      <w:r>
        <w:rPr>
          <w:b/>
          <w:sz w:val="28"/>
          <w:szCs w:val="26"/>
        </w:rPr>
        <w:t xml:space="preserve">e largest natural gas reserves </w:t>
      </w:r>
      <w:r>
        <w:rPr>
          <w:b/>
          <w:sz w:val="28"/>
          <w:szCs w:val="26"/>
        </w:rPr>
        <w:t>in the continent.</w:t>
      </w:r>
      <w:r>
        <w:rPr>
          <w:b/>
          <w:sz w:val="28"/>
          <w:szCs w:val="26"/>
        </w:rPr>
        <w:t xml:space="preserve"> The capital-intensive oil sector provides 20% of gross domestic product, 95% of foreign exchange earnings, and about 65% of budgetary revenues.</w:t>
      </w:r>
    </w:p>
    <w:p>
      <w:pPr>
        <w:pStyle w:val="style0"/>
        <w:rPr>
          <w:b/>
          <w:sz w:val="28"/>
          <w:szCs w:val="26"/>
        </w:rPr>
      </w:pPr>
      <w:r>
        <w:rPr>
          <w:b/>
          <w:sz w:val="28"/>
          <w:szCs w:val="26"/>
        </w:rPr>
        <w:t>Crude Oil Reserves</w:t>
      </w:r>
      <w:r>
        <w:rPr>
          <w:b/>
          <w:sz w:val="28"/>
          <w:szCs w:val="26"/>
        </w:rPr>
        <w:t>;</w:t>
      </w:r>
    </w:p>
    <w:p>
      <w:pPr>
        <w:pStyle w:val="style0"/>
        <w:rPr>
          <w:b/>
          <w:sz w:val="28"/>
          <w:szCs w:val="26"/>
        </w:rPr>
      </w:pPr>
      <w:r>
        <w:rPr>
          <w:b/>
          <w:sz w:val="28"/>
          <w:szCs w:val="26"/>
        </w:rPr>
        <w:t>Six oil companies- Shell, Chevron, Mo</w:t>
      </w:r>
      <w:r>
        <w:rPr>
          <w:b/>
          <w:sz w:val="28"/>
          <w:szCs w:val="26"/>
        </w:rPr>
        <w:t xml:space="preserve">bil, </w:t>
      </w:r>
      <w:r>
        <w:rPr>
          <w:b/>
          <w:sz w:val="28"/>
          <w:szCs w:val="26"/>
        </w:rPr>
        <w:t>Agip</w:t>
      </w:r>
      <w:r>
        <w:rPr>
          <w:b/>
          <w:sz w:val="28"/>
          <w:szCs w:val="26"/>
        </w:rPr>
        <w:t>, Elf and Texaco – currently dominated the</w:t>
      </w:r>
      <w:r>
        <w:rPr>
          <w:b/>
          <w:sz w:val="28"/>
          <w:szCs w:val="26"/>
        </w:rPr>
        <w:t xml:space="preserve"> </w:t>
      </w:r>
      <w:r>
        <w:rPr>
          <w:b/>
          <w:sz w:val="28"/>
          <w:szCs w:val="26"/>
        </w:rPr>
        <w:t xml:space="preserve">oil industry in the country. Together, they hold some 98% of the oil reserves and operating assets. About 50 other companies have minor interests, some of which were recently acquired (detailed profile of these players are available from the DPR). Today, recoverable reserves are estimated at 28.5 billion barrels, with an average productivity of about 2.5 million barrels per day, including condensates. Average oil depletion rate is 15% but the reserves base has continued to increase due to increase addition from exploration and appraisal drilling and deep offshore exploration. Nigeria association and non-associated </w:t>
      </w:r>
      <w:r>
        <w:rPr>
          <w:b/>
          <w:sz w:val="28"/>
          <w:szCs w:val="26"/>
        </w:rPr>
        <w:t>gas reserves are estimated to be</w:t>
      </w:r>
      <w:r>
        <w:rPr>
          <w:b/>
          <w:sz w:val="28"/>
          <w:szCs w:val="26"/>
        </w:rPr>
        <w:t xml:space="preserve"> well </w:t>
      </w:r>
      <w:r>
        <w:rPr>
          <w:b/>
          <w:sz w:val="28"/>
          <w:szCs w:val="26"/>
        </w:rPr>
        <w:t>over 166 trillion standard cubic feet (TCF). This places Nigeria among the top ten countries with largest gas reserves in the world.</w:t>
      </w:r>
    </w:p>
    <w:p>
      <w:pPr>
        <w:pStyle w:val="style0"/>
        <w:rPr>
          <w:b/>
          <w:sz w:val="28"/>
          <w:szCs w:val="26"/>
        </w:rPr>
      </w:pPr>
      <w:r>
        <w:rPr>
          <w:b/>
          <w:sz w:val="28"/>
          <w:szCs w:val="26"/>
        </w:rPr>
        <w:t>Nigeria’s Oil Fields;</w:t>
      </w:r>
    </w:p>
    <w:p>
      <w:pPr>
        <w:pStyle w:val="style0"/>
        <w:rPr>
          <w:b/>
          <w:sz w:val="28"/>
          <w:szCs w:val="26"/>
        </w:rPr>
      </w:pPr>
      <w:r>
        <w:rPr>
          <w:b/>
          <w:sz w:val="28"/>
          <w:szCs w:val="26"/>
        </w:rPr>
        <w:t xml:space="preserve">There are 500 fields in the Niger Delta. Over 55% of these are onshore, while the remaining </w:t>
      </w:r>
      <w:r>
        <w:rPr>
          <w:b/>
          <w:sz w:val="28"/>
          <w:szCs w:val="26"/>
        </w:rPr>
        <w:t>are</w:t>
      </w:r>
      <w:r>
        <w:rPr>
          <w:b/>
          <w:sz w:val="28"/>
          <w:szCs w:val="26"/>
        </w:rPr>
        <w:t xml:space="preserve"> in the shallow waters (less than 500 meters). Of these fields, 193 are currently producing while 23 have either been closed-down or abandoned.</w:t>
      </w: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r>
        <w:rPr>
          <w:b/>
          <w:sz w:val="28"/>
          <w:szCs w:val="26"/>
        </w:rPr>
        <w:t xml:space="preserve">Major </w:t>
      </w:r>
      <w:r>
        <w:rPr>
          <w:b/>
          <w:sz w:val="28"/>
          <w:szCs w:val="26"/>
        </w:rPr>
        <w:t>indicators;</w:t>
      </w:r>
    </w:p>
    <w:tbl>
      <w:tblPr>
        <w:tblStyle w:val="style154"/>
        <w:tblW w:w="0" w:type="auto"/>
        <w:tblLook w:firstRow="0" w:lastRow="0" w:firstColumn="0" w:lastColumn="0" w:noHBand="0" w:noVBand="1"/>
      </w:tblPr>
      <w:tblGrid>
        <w:gridCol w:w="4675"/>
        <w:gridCol w:w="4675"/>
      </w:tblGrid>
      <w:tr>
        <w:trPr/>
        <w:tc>
          <w:tcPr>
            <w:tcW w:w="4675" w:type="dxa"/>
            <w:tcBorders/>
            <w:tcFitText w:val="false"/>
          </w:tcPr>
          <w:p>
            <w:pPr>
              <w:pStyle w:val="style0"/>
              <w:rPr>
                <w:b/>
                <w:sz w:val="28"/>
                <w:szCs w:val="26"/>
              </w:rPr>
            </w:pPr>
            <w:r>
              <w:rPr>
                <w:b/>
                <w:sz w:val="28"/>
                <w:szCs w:val="26"/>
              </w:rPr>
              <w:t>Land ( 1000 sq. km)</w:t>
            </w:r>
          </w:p>
        </w:tc>
        <w:tc>
          <w:tcPr>
            <w:tcW w:w="4675" w:type="dxa"/>
            <w:tcBorders/>
            <w:tcFitText w:val="false"/>
          </w:tcPr>
          <w:p>
            <w:pPr>
              <w:pStyle w:val="style0"/>
              <w:rPr>
                <w:b/>
                <w:sz w:val="28"/>
                <w:szCs w:val="26"/>
              </w:rPr>
            </w:pPr>
            <w:r>
              <w:rPr>
                <w:b/>
                <w:sz w:val="28"/>
                <w:szCs w:val="26"/>
              </w:rPr>
              <w:t>910.770 (2010)</w:t>
            </w:r>
          </w:p>
        </w:tc>
      </w:tr>
      <w:tr>
        <w:tblPrEx/>
        <w:trPr/>
        <w:tc>
          <w:tcPr>
            <w:tcW w:w="4675" w:type="dxa"/>
            <w:tcBorders/>
            <w:tcFitText w:val="false"/>
          </w:tcPr>
          <w:p>
            <w:pPr>
              <w:pStyle w:val="style0"/>
              <w:rPr>
                <w:b/>
                <w:sz w:val="28"/>
                <w:szCs w:val="26"/>
              </w:rPr>
            </w:pPr>
            <w:r>
              <w:rPr>
                <w:b/>
                <w:sz w:val="28"/>
                <w:szCs w:val="26"/>
              </w:rPr>
              <w:t>Head of State</w:t>
            </w:r>
          </w:p>
        </w:tc>
        <w:tc>
          <w:tcPr>
            <w:tcW w:w="4675" w:type="dxa"/>
            <w:tcBorders/>
            <w:tcFitText w:val="false"/>
          </w:tcPr>
          <w:p>
            <w:pPr>
              <w:pStyle w:val="style0"/>
              <w:rPr>
                <w:b/>
                <w:sz w:val="28"/>
                <w:szCs w:val="26"/>
              </w:rPr>
            </w:pPr>
            <w:r>
              <w:rPr>
                <w:b/>
                <w:sz w:val="28"/>
                <w:szCs w:val="26"/>
              </w:rPr>
              <w:t xml:space="preserve">HE </w:t>
            </w:r>
            <w:r>
              <w:rPr>
                <w:b/>
                <w:sz w:val="28"/>
                <w:szCs w:val="26"/>
              </w:rPr>
              <w:t>Muhamma</w:t>
            </w:r>
            <w:r>
              <w:rPr>
                <w:b/>
                <w:sz w:val="28"/>
                <w:szCs w:val="26"/>
              </w:rPr>
              <w:t xml:space="preserve"> du </w:t>
            </w:r>
            <w:r>
              <w:rPr>
                <w:b/>
                <w:sz w:val="28"/>
                <w:szCs w:val="26"/>
              </w:rPr>
              <w:t>Buhari</w:t>
            </w:r>
          </w:p>
        </w:tc>
      </w:tr>
      <w:tr>
        <w:tblPrEx/>
        <w:trPr/>
        <w:tc>
          <w:tcPr>
            <w:tcW w:w="4675" w:type="dxa"/>
            <w:tcBorders/>
            <w:tcFitText w:val="false"/>
          </w:tcPr>
          <w:p>
            <w:pPr>
              <w:pStyle w:val="style0"/>
              <w:rPr>
                <w:b/>
                <w:sz w:val="28"/>
                <w:szCs w:val="26"/>
              </w:rPr>
            </w:pPr>
            <w:r>
              <w:rPr>
                <w:b/>
                <w:sz w:val="28"/>
                <w:szCs w:val="26"/>
              </w:rPr>
              <w:t>Population (million inh</w:t>
            </w:r>
            <w:r>
              <w:rPr>
                <w:b/>
                <w:sz w:val="28"/>
                <w:szCs w:val="26"/>
              </w:rPr>
              <w:t>abitants)</w:t>
            </w:r>
          </w:p>
        </w:tc>
        <w:tc>
          <w:tcPr>
            <w:tcW w:w="4675" w:type="dxa"/>
            <w:tcBorders/>
            <w:tcFitText w:val="false"/>
          </w:tcPr>
          <w:p>
            <w:pPr>
              <w:pStyle w:val="style0"/>
              <w:rPr>
                <w:b/>
                <w:sz w:val="28"/>
                <w:szCs w:val="26"/>
              </w:rPr>
            </w:pPr>
            <w:r>
              <w:rPr>
                <w:b/>
                <w:sz w:val="28"/>
                <w:szCs w:val="26"/>
              </w:rPr>
              <w:t>154.7</w:t>
            </w:r>
          </w:p>
        </w:tc>
      </w:tr>
      <w:tr>
        <w:tblPrEx/>
        <w:trPr/>
        <w:tc>
          <w:tcPr>
            <w:tcW w:w="4675" w:type="dxa"/>
            <w:tcBorders/>
            <w:tcFitText w:val="false"/>
          </w:tcPr>
          <w:p>
            <w:pPr>
              <w:pStyle w:val="style0"/>
              <w:rPr>
                <w:b/>
                <w:sz w:val="28"/>
                <w:szCs w:val="26"/>
              </w:rPr>
            </w:pPr>
            <w:r>
              <w:rPr>
                <w:b/>
                <w:sz w:val="28"/>
                <w:szCs w:val="26"/>
              </w:rPr>
              <w:t>Capital</w:t>
            </w:r>
          </w:p>
        </w:tc>
        <w:tc>
          <w:tcPr>
            <w:tcW w:w="4675" w:type="dxa"/>
            <w:tcBorders/>
            <w:tcFitText w:val="false"/>
          </w:tcPr>
          <w:p>
            <w:pPr>
              <w:pStyle w:val="style0"/>
              <w:rPr>
                <w:b/>
                <w:sz w:val="28"/>
                <w:szCs w:val="26"/>
              </w:rPr>
            </w:pPr>
            <w:r>
              <w:rPr>
                <w:b/>
                <w:sz w:val="28"/>
                <w:szCs w:val="26"/>
              </w:rPr>
              <w:t>ABUJA</w:t>
            </w:r>
          </w:p>
        </w:tc>
      </w:tr>
      <w:tr>
        <w:tblPrEx/>
        <w:trPr/>
        <w:tc>
          <w:tcPr>
            <w:tcW w:w="4675" w:type="dxa"/>
            <w:tcBorders/>
            <w:tcFitText w:val="false"/>
          </w:tcPr>
          <w:p>
            <w:pPr>
              <w:pStyle w:val="style0"/>
              <w:rPr>
                <w:b/>
                <w:sz w:val="28"/>
                <w:szCs w:val="26"/>
              </w:rPr>
            </w:pPr>
            <w:r>
              <w:rPr>
                <w:b/>
                <w:sz w:val="28"/>
                <w:szCs w:val="26"/>
              </w:rPr>
              <w:t>Language(s)</w:t>
            </w:r>
          </w:p>
        </w:tc>
        <w:tc>
          <w:tcPr>
            <w:tcW w:w="4675" w:type="dxa"/>
            <w:tcBorders/>
            <w:tcFitText w:val="false"/>
          </w:tcPr>
          <w:p>
            <w:pPr>
              <w:pStyle w:val="style0"/>
              <w:rPr>
                <w:b/>
                <w:sz w:val="28"/>
                <w:szCs w:val="26"/>
              </w:rPr>
            </w:pPr>
            <w:r>
              <w:rPr>
                <w:b/>
                <w:sz w:val="28"/>
                <w:szCs w:val="26"/>
              </w:rPr>
              <w:t>ENGLISH</w:t>
            </w:r>
          </w:p>
        </w:tc>
      </w:tr>
      <w:tr>
        <w:tblPrEx/>
        <w:trPr/>
        <w:tc>
          <w:tcPr>
            <w:tcW w:w="4675" w:type="dxa"/>
            <w:tcBorders/>
            <w:tcFitText w:val="false"/>
          </w:tcPr>
          <w:p>
            <w:pPr>
              <w:pStyle w:val="style0"/>
              <w:rPr>
                <w:b/>
                <w:sz w:val="28"/>
                <w:szCs w:val="26"/>
              </w:rPr>
            </w:pPr>
            <w:r>
              <w:rPr>
                <w:b/>
                <w:sz w:val="28"/>
                <w:szCs w:val="26"/>
              </w:rPr>
              <w:t>National currency</w:t>
            </w:r>
          </w:p>
        </w:tc>
        <w:tc>
          <w:tcPr>
            <w:tcW w:w="4675" w:type="dxa"/>
            <w:tcBorders/>
            <w:tcFitText w:val="false"/>
          </w:tcPr>
          <w:p>
            <w:pPr>
              <w:pStyle w:val="style0"/>
              <w:rPr>
                <w:b/>
                <w:sz w:val="28"/>
                <w:szCs w:val="26"/>
              </w:rPr>
            </w:pPr>
            <w:r>
              <w:rPr>
                <w:b/>
                <w:sz w:val="28"/>
                <w:szCs w:val="26"/>
              </w:rPr>
              <w:t>Naira</w:t>
            </w:r>
          </w:p>
        </w:tc>
      </w:tr>
      <w:tr>
        <w:tblPrEx/>
        <w:trPr/>
        <w:tc>
          <w:tcPr>
            <w:tcW w:w="4675" w:type="dxa"/>
            <w:tcBorders/>
            <w:tcFitText w:val="false"/>
          </w:tcPr>
          <w:p>
            <w:pPr>
              <w:pStyle w:val="style0"/>
              <w:rPr>
                <w:b/>
                <w:sz w:val="28"/>
                <w:szCs w:val="26"/>
              </w:rPr>
            </w:pPr>
            <w:r>
              <w:rPr>
                <w:b/>
                <w:sz w:val="28"/>
                <w:szCs w:val="26"/>
              </w:rPr>
              <w:t>Energy sources</w:t>
            </w:r>
          </w:p>
        </w:tc>
        <w:tc>
          <w:tcPr>
            <w:tcW w:w="4675" w:type="dxa"/>
            <w:tcBorders/>
            <w:tcFitText w:val="false"/>
          </w:tcPr>
          <w:p>
            <w:pPr>
              <w:pStyle w:val="style0"/>
              <w:rPr>
                <w:b/>
                <w:sz w:val="28"/>
                <w:szCs w:val="26"/>
              </w:rPr>
            </w:pPr>
            <w:r>
              <w:rPr>
                <w:b/>
                <w:sz w:val="28"/>
                <w:szCs w:val="26"/>
              </w:rPr>
              <w:t>Petroleum, Natural Gas, Coal</w:t>
            </w:r>
          </w:p>
        </w:tc>
      </w:tr>
      <w:tr>
        <w:tblPrEx/>
        <w:trPr/>
        <w:tc>
          <w:tcPr>
            <w:tcW w:w="4675" w:type="dxa"/>
            <w:tcBorders/>
            <w:tcFitText w:val="false"/>
          </w:tcPr>
          <w:p>
            <w:pPr>
              <w:pStyle w:val="style0"/>
              <w:rPr>
                <w:b/>
                <w:sz w:val="28"/>
                <w:szCs w:val="26"/>
              </w:rPr>
            </w:pPr>
            <w:r>
              <w:rPr>
                <w:b/>
                <w:sz w:val="28"/>
                <w:szCs w:val="26"/>
              </w:rPr>
              <w:t>GDP per capital(current US$)</w:t>
            </w:r>
          </w:p>
        </w:tc>
        <w:tc>
          <w:tcPr>
            <w:tcW w:w="4675" w:type="dxa"/>
            <w:tcBorders/>
            <w:tcFitText w:val="false"/>
          </w:tcPr>
          <w:p>
            <w:pPr>
              <w:pStyle w:val="style0"/>
              <w:rPr>
                <w:b/>
                <w:sz w:val="28"/>
                <w:szCs w:val="26"/>
              </w:rPr>
            </w:pPr>
            <w:r>
              <w:rPr>
                <w:b/>
                <w:sz w:val="28"/>
                <w:szCs w:val="26"/>
              </w:rPr>
              <w:t>1,443 (2011)</w:t>
            </w:r>
          </w:p>
        </w:tc>
      </w:tr>
      <w:tr>
        <w:tblPrEx/>
        <w:trPr/>
        <w:tc>
          <w:tcPr>
            <w:tcW w:w="4675" w:type="dxa"/>
            <w:tcBorders/>
            <w:tcFitText w:val="false"/>
          </w:tcPr>
          <w:p>
            <w:pPr>
              <w:pStyle w:val="style0"/>
              <w:rPr>
                <w:b/>
                <w:sz w:val="28"/>
                <w:szCs w:val="26"/>
              </w:rPr>
            </w:pPr>
            <w:r>
              <w:rPr>
                <w:b/>
                <w:sz w:val="28"/>
                <w:szCs w:val="26"/>
              </w:rPr>
              <w:t>Value of Oil export (billion $)</w:t>
            </w:r>
          </w:p>
        </w:tc>
        <w:tc>
          <w:tcPr>
            <w:tcW w:w="4675" w:type="dxa"/>
            <w:tcBorders/>
            <w:tcFitText w:val="false"/>
          </w:tcPr>
          <w:p>
            <w:pPr>
              <w:pStyle w:val="style0"/>
              <w:rPr>
                <w:b/>
                <w:sz w:val="28"/>
                <w:szCs w:val="26"/>
              </w:rPr>
            </w:pPr>
            <w:r>
              <w:rPr>
                <w:b/>
                <w:sz w:val="28"/>
                <w:szCs w:val="26"/>
              </w:rPr>
              <w:t>108.3</w:t>
            </w:r>
          </w:p>
        </w:tc>
      </w:tr>
      <w:tr>
        <w:tblPrEx/>
        <w:trPr/>
        <w:tc>
          <w:tcPr>
            <w:tcW w:w="4675" w:type="dxa"/>
            <w:tcBorders/>
            <w:tcFitText w:val="false"/>
          </w:tcPr>
          <w:p>
            <w:pPr>
              <w:pStyle w:val="style0"/>
              <w:rPr>
                <w:b/>
                <w:sz w:val="28"/>
                <w:szCs w:val="26"/>
              </w:rPr>
            </w:pPr>
            <w:r>
              <w:rPr>
                <w:b/>
                <w:sz w:val="28"/>
                <w:szCs w:val="26"/>
              </w:rPr>
              <w:t>GDP (Current billion US$)</w:t>
            </w:r>
          </w:p>
        </w:tc>
        <w:tc>
          <w:tcPr>
            <w:tcW w:w="4675" w:type="dxa"/>
            <w:tcBorders/>
            <w:tcFitText w:val="false"/>
          </w:tcPr>
          <w:p>
            <w:pPr>
              <w:pStyle w:val="style0"/>
              <w:rPr>
                <w:b/>
                <w:sz w:val="28"/>
                <w:szCs w:val="26"/>
              </w:rPr>
            </w:pPr>
            <w:r>
              <w:rPr>
                <w:b/>
                <w:sz w:val="28"/>
                <w:szCs w:val="26"/>
              </w:rPr>
              <w:t>235.69</w:t>
            </w:r>
          </w:p>
        </w:tc>
      </w:tr>
      <w:tr>
        <w:tblPrEx/>
        <w:trPr/>
        <w:tc>
          <w:tcPr>
            <w:tcW w:w="4675" w:type="dxa"/>
            <w:tcBorders/>
            <w:tcFitText w:val="false"/>
          </w:tcPr>
          <w:p>
            <w:pPr>
              <w:pStyle w:val="style0"/>
              <w:rPr>
                <w:b/>
                <w:sz w:val="28"/>
                <w:szCs w:val="26"/>
              </w:rPr>
            </w:pPr>
            <w:r>
              <w:rPr>
                <w:b/>
                <w:sz w:val="28"/>
                <w:szCs w:val="26"/>
              </w:rPr>
              <w:t>Value of Gas export (billion $)</w:t>
            </w:r>
          </w:p>
        </w:tc>
        <w:tc>
          <w:tcPr>
            <w:tcW w:w="4675" w:type="dxa"/>
            <w:tcBorders/>
            <w:tcFitText w:val="false"/>
          </w:tcPr>
          <w:p>
            <w:pPr>
              <w:pStyle w:val="style0"/>
              <w:rPr>
                <w:b/>
                <w:sz w:val="28"/>
                <w:szCs w:val="26"/>
              </w:rPr>
            </w:pPr>
            <w:r>
              <w:rPr>
                <w:b/>
                <w:sz w:val="28"/>
                <w:szCs w:val="26"/>
              </w:rPr>
              <w:t>Nil</w:t>
            </w:r>
          </w:p>
        </w:tc>
      </w:tr>
      <w:tr>
        <w:tblPrEx/>
        <w:trPr/>
        <w:tc>
          <w:tcPr>
            <w:tcW w:w="4675" w:type="dxa"/>
            <w:tcBorders/>
            <w:tcFitText w:val="false"/>
          </w:tcPr>
          <w:p>
            <w:pPr>
              <w:pStyle w:val="style0"/>
              <w:rPr>
                <w:b/>
                <w:sz w:val="28"/>
                <w:szCs w:val="26"/>
              </w:rPr>
            </w:pPr>
            <w:r>
              <w:rPr>
                <w:b/>
                <w:sz w:val="28"/>
                <w:szCs w:val="26"/>
              </w:rPr>
              <w:t>Current account balance (</w:t>
            </w:r>
            <w:r>
              <w:rPr>
                <w:b/>
                <w:sz w:val="28"/>
                <w:szCs w:val="26"/>
              </w:rPr>
              <w:t>BoP</w:t>
            </w:r>
            <w:r>
              <w:rPr>
                <w:b/>
                <w:sz w:val="28"/>
                <w:szCs w:val="26"/>
              </w:rPr>
              <w:t>, billion $)</w:t>
            </w:r>
          </w:p>
        </w:tc>
        <w:tc>
          <w:tcPr>
            <w:tcW w:w="4675" w:type="dxa"/>
            <w:tcBorders/>
            <w:tcFitText w:val="false"/>
          </w:tcPr>
          <w:p>
            <w:pPr>
              <w:pStyle w:val="style0"/>
              <w:rPr>
                <w:b/>
                <w:sz w:val="28"/>
                <w:szCs w:val="26"/>
              </w:rPr>
            </w:pPr>
            <w:r>
              <w:rPr>
                <w:b/>
                <w:sz w:val="28"/>
                <w:szCs w:val="26"/>
              </w:rPr>
              <w:t>17.85 (2011)</w:t>
            </w:r>
          </w:p>
        </w:tc>
      </w:tr>
      <w:tr>
        <w:tblPrEx/>
        <w:trPr/>
        <w:tc>
          <w:tcPr>
            <w:tcW w:w="4675" w:type="dxa"/>
            <w:tcBorders/>
            <w:tcFitText w:val="false"/>
          </w:tcPr>
          <w:p>
            <w:pPr>
              <w:pStyle w:val="style0"/>
              <w:rPr>
                <w:b/>
                <w:sz w:val="28"/>
                <w:szCs w:val="26"/>
              </w:rPr>
            </w:pPr>
            <w:r>
              <w:rPr>
                <w:b/>
                <w:sz w:val="28"/>
                <w:szCs w:val="26"/>
              </w:rPr>
              <w:t>PROVEN CRUDE OIL RESERVES (billion barrels)</w:t>
            </w:r>
          </w:p>
        </w:tc>
        <w:tc>
          <w:tcPr>
            <w:tcW w:w="4675" w:type="dxa"/>
            <w:tcBorders/>
            <w:tcFitText w:val="false"/>
          </w:tcPr>
          <w:p>
            <w:pPr>
              <w:pStyle w:val="style0"/>
              <w:rPr>
                <w:b/>
                <w:sz w:val="28"/>
                <w:szCs w:val="26"/>
              </w:rPr>
            </w:pPr>
            <w:r>
              <w:rPr>
                <w:b/>
                <w:sz w:val="28"/>
                <w:szCs w:val="26"/>
              </w:rPr>
              <w:t>37.2 (2011)</w:t>
            </w:r>
          </w:p>
        </w:tc>
      </w:tr>
      <w:tr>
        <w:tblPrEx/>
        <w:trPr/>
        <w:tc>
          <w:tcPr>
            <w:tcW w:w="4675" w:type="dxa"/>
            <w:tcBorders/>
            <w:tcFitText w:val="false"/>
          </w:tcPr>
          <w:p>
            <w:pPr>
              <w:pStyle w:val="style0"/>
              <w:rPr>
                <w:b/>
                <w:sz w:val="28"/>
                <w:szCs w:val="26"/>
              </w:rPr>
            </w:pPr>
            <w:r>
              <w:rPr>
                <w:b/>
                <w:sz w:val="28"/>
                <w:szCs w:val="26"/>
              </w:rPr>
              <w:t>Crude oil production, NGPL and othe</w:t>
            </w:r>
            <w:r>
              <w:rPr>
                <w:b/>
                <w:sz w:val="28"/>
                <w:szCs w:val="26"/>
              </w:rPr>
              <w:t>r liquid (1,000b/d)</w:t>
            </w:r>
          </w:p>
        </w:tc>
        <w:tc>
          <w:tcPr>
            <w:tcW w:w="4675" w:type="dxa"/>
            <w:tcBorders/>
            <w:tcFitText w:val="false"/>
          </w:tcPr>
          <w:p>
            <w:pPr>
              <w:pStyle w:val="style0"/>
              <w:rPr>
                <w:b/>
                <w:sz w:val="28"/>
                <w:szCs w:val="26"/>
              </w:rPr>
            </w:pPr>
            <w:r>
              <w:rPr>
                <w:b/>
                <w:sz w:val="28"/>
                <w:szCs w:val="26"/>
              </w:rPr>
              <w:t>2,525 (2011)</w:t>
            </w:r>
          </w:p>
        </w:tc>
      </w:tr>
      <w:tr>
        <w:tblPrEx/>
        <w:trPr/>
        <w:tc>
          <w:tcPr>
            <w:tcW w:w="4675" w:type="dxa"/>
            <w:tcBorders/>
            <w:tcFitText w:val="false"/>
          </w:tcPr>
          <w:p>
            <w:pPr>
              <w:pStyle w:val="style0"/>
              <w:rPr>
                <w:b/>
                <w:sz w:val="28"/>
                <w:szCs w:val="26"/>
              </w:rPr>
            </w:pPr>
            <w:r>
              <w:rPr>
                <w:b/>
                <w:sz w:val="28"/>
                <w:szCs w:val="26"/>
              </w:rPr>
              <w:t>Refinery capacity (1,000 b/d)</w:t>
            </w:r>
          </w:p>
        </w:tc>
        <w:tc>
          <w:tcPr>
            <w:tcW w:w="4675" w:type="dxa"/>
            <w:tcBorders/>
            <w:tcFitText w:val="false"/>
          </w:tcPr>
          <w:p>
            <w:pPr>
              <w:pStyle w:val="style0"/>
              <w:rPr>
                <w:b/>
                <w:sz w:val="28"/>
                <w:szCs w:val="26"/>
              </w:rPr>
            </w:pPr>
            <w:r>
              <w:rPr>
                <w:b/>
                <w:sz w:val="28"/>
                <w:szCs w:val="26"/>
              </w:rPr>
              <w:t>445 (2011)</w:t>
            </w:r>
          </w:p>
        </w:tc>
      </w:tr>
      <w:tr>
        <w:tblPrEx/>
        <w:trPr/>
        <w:tc>
          <w:tcPr>
            <w:tcW w:w="4675" w:type="dxa"/>
            <w:tcBorders/>
            <w:tcFitText w:val="false"/>
          </w:tcPr>
          <w:p>
            <w:pPr>
              <w:pStyle w:val="style0"/>
              <w:rPr>
                <w:b/>
                <w:sz w:val="28"/>
                <w:szCs w:val="26"/>
              </w:rPr>
            </w:pPr>
            <w:r>
              <w:rPr>
                <w:b/>
                <w:sz w:val="28"/>
                <w:szCs w:val="26"/>
              </w:rPr>
              <w:t>Production of refined petroleum products (1,000b/d)</w:t>
            </w:r>
          </w:p>
        </w:tc>
        <w:tc>
          <w:tcPr>
            <w:tcW w:w="4675" w:type="dxa"/>
            <w:tcBorders/>
            <w:tcFitText w:val="false"/>
          </w:tcPr>
          <w:p>
            <w:pPr>
              <w:pStyle w:val="style0"/>
              <w:rPr>
                <w:b/>
                <w:sz w:val="28"/>
                <w:szCs w:val="26"/>
              </w:rPr>
            </w:pPr>
            <w:r>
              <w:rPr>
                <w:b/>
                <w:sz w:val="28"/>
                <w:szCs w:val="26"/>
              </w:rPr>
              <w:t>101.3 (2011)</w:t>
            </w:r>
          </w:p>
        </w:tc>
      </w:tr>
      <w:tr>
        <w:tblPrEx/>
        <w:trPr/>
        <w:tc>
          <w:tcPr>
            <w:tcW w:w="4675" w:type="dxa"/>
            <w:tcBorders/>
            <w:tcFitText w:val="false"/>
          </w:tcPr>
          <w:p>
            <w:pPr>
              <w:pStyle w:val="style0"/>
              <w:rPr>
                <w:b/>
                <w:sz w:val="28"/>
                <w:szCs w:val="26"/>
              </w:rPr>
            </w:pPr>
            <w:r>
              <w:rPr>
                <w:b/>
                <w:sz w:val="28"/>
                <w:szCs w:val="26"/>
              </w:rPr>
              <w:t>Consumption of petroleum products (1,000b/d)</w:t>
            </w:r>
          </w:p>
        </w:tc>
        <w:tc>
          <w:tcPr>
            <w:tcW w:w="4675" w:type="dxa"/>
            <w:tcBorders/>
            <w:tcFitText w:val="false"/>
          </w:tcPr>
          <w:p>
            <w:pPr>
              <w:pStyle w:val="style0"/>
              <w:rPr>
                <w:b/>
                <w:sz w:val="28"/>
                <w:szCs w:val="26"/>
              </w:rPr>
            </w:pPr>
            <w:r>
              <w:rPr>
                <w:b/>
                <w:sz w:val="28"/>
                <w:szCs w:val="26"/>
              </w:rPr>
              <w:t xml:space="preserve">286 </w:t>
            </w:r>
            <w:r>
              <w:rPr>
                <w:b/>
                <w:sz w:val="28"/>
                <w:szCs w:val="26"/>
              </w:rPr>
              <w:t>(2011)</w:t>
            </w:r>
          </w:p>
        </w:tc>
      </w:tr>
      <w:tr>
        <w:tblPrEx/>
        <w:trPr/>
        <w:tc>
          <w:tcPr>
            <w:tcW w:w="4675" w:type="dxa"/>
            <w:tcBorders/>
            <w:tcFitText w:val="false"/>
          </w:tcPr>
          <w:p>
            <w:pPr>
              <w:pStyle w:val="style0"/>
              <w:rPr>
                <w:b/>
                <w:sz w:val="28"/>
                <w:szCs w:val="26"/>
              </w:rPr>
            </w:pPr>
            <w:r>
              <w:rPr>
                <w:b/>
                <w:sz w:val="28"/>
                <w:szCs w:val="26"/>
              </w:rPr>
              <w:t>Crude oil export (1,000)</w:t>
            </w:r>
          </w:p>
        </w:tc>
        <w:tc>
          <w:tcPr>
            <w:tcW w:w="4675" w:type="dxa"/>
            <w:tcBorders/>
            <w:tcFitText w:val="false"/>
          </w:tcPr>
          <w:p>
            <w:pPr>
              <w:pStyle w:val="style0"/>
              <w:rPr>
                <w:b/>
                <w:sz w:val="28"/>
                <w:szCs w:val="26"/>
              </w:rPr>
            </w:pPr>
            <w:r>
              <w:rPr>
                <w:b/>
                <w:sz w:val="28"/>
                <w:szCs w:val="26"/>
              </w:rPr>
              <w:t>2,377 (2011)</w:t>
            </w:r>
          </w:p>
        </w:tc>
      </w:tr>
      <w:tr>
        <w:tblPrEx/>
        <w:trPr/>
        <w:tc>
          <w:tcPr>
            <w:tcW w:w="4675" w:type="dxa"/>
            <w:tcBorders/>
            <w:tcFitText w:val="false"/>
          </w:tcPr>
          <w:p>
            <w:pPr>
              <w:pStyle w:val="style0"/>
              <w:rPr>
                <w:b/>
                <w:sz w:val="28"/>
                <w:szCs w:val="26"/>
              </w:rPr>
            </w:pPr>
            <w:r>
              <w:rPr>
                <w:b/>
                <w:sz w:val="28"/>
                <w:szCs w:val="26"/>
              </w:rPr>
              <w:t xml:space="preserve">Proven natural gas reserves (trillion </w:t>
            </w:r>
            <w:r>
              <w:rPr>
                <w:b/>
                <w:sz w:val="28"/>
                <w:szCs w:val="26"/>
              </w:rPr>
              <w:t>cu. m.)</w:t>
            </w:r>
          </w:p>
        </w:tc>
        <w:tc>
          <w:tcPr>
            <w:tcW w:w="4675" w:type="dxa"/>
            <w:tcBorders/>
            <w:tcFitText w:val="false"/>
          </w:tcPr>
          <w:p>
            <w:pPr>
              <w:pStyle w:val="style0"/>
              <w:rPr>
                <w:b/>
                <w:sz w:val="28"/>
                <w:szCs w:val="26"/>
              </w:rPr>
            </w:pPr>
            <w:r>
              <w:rPr>
                <w:b/>
                <w:sz w:val="28"/>
                <w:szCs w:val="26"/>
              </w:rPr>
              <w:t>5.155 (2012)</w:t>
            </w:r>
          </w:p>
        </w:tc>
      </w:tr>
    </w:tbl>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r>
        <w:rPr>
          <w:b/>
          <w:sz w:val="28"/>
          <w:szCs w:val="26"/>
        </w:rPr>
        <w:t>GHANA’S PROVEN CRUDE OIL RESERVE</w:t>
      </w:r>
    </w:p>
    <w:p>
      <w:pPr>
        <w:pStyle w:val="style0"/>
        <w:rPr>
          <w:b/>
          <w:sz w:val="28"/>
          <w:szCs w:val="26"/>
        </w:rPr>
      </w:pPr>
      <w:r>
        <w:rPr>
          <w:b/>
          <w:sz w:val="28"/>
          <w:szCs w:val="26"/>
        </w:rPr>
        <w:t xml:space="preserve">Ghana discovered its first large-scale, commercially viable oil field in June 2007. The </w:t>
      </w:r>
      <w:r>
        <w:rPr>
          <w:b/>
          <w:sz w:val="28"/>
          <w:szCs w:val="26"/>
        </w:rPr>
        <w:t>Kosmos</w:t>
      </w:r>
      <w:r>
        <w:rPr>
          <w:b/>
          <w:sz w:val="28"/>
          <w:szCs w:val="26"/>
        </w:rPr>
        <w:t xml:space="preserve"> Energy team discovered the Jubilee oil field following the drilling of the Mahodany-1 exploration well in Ghana</w:t>
      </w:r>
      <w:r>
        <w:rPr>
          <w:b/>
          <w:sz w:val="28"/>
          <w:szCs w:val="26"/>
        </w:rPr>
        <w:t xml:space="preserve">’s deep waters. A string of discoveries in the Jubilee offshore oil field from 2007 onward has resulted in Ghana’s confidence in a reserve of around 1.5 billion barrels, with a potential upside of 2 billion barrel from adjacent sites. </w:t>
      </w:r>
    </w:p>
    <w:p>
      <w:pPr>
        <w:pStyle w:val="style0"/>
        <w:rPr>
          <w:b/>
          <w:sz w:val="28"/>
          <w:szCs w:val="26"/>
        </w:rPr>
      </w:pPr>
      <w:r>
        <w:rPr>
          <w:b/>
          <w:sz w:val="28"/>
          <w:szCs w:val="26"/>
        </w:rPr>
        <w:t>Presently though, the US EIA indicates Ghana’</w:t>
      </w:r>
      <w:r>
        <w:rPr>
          <w:b/>
          <w:sz w:val="28"/>
          <w:szCs w:val="26"/>
        </w:rPr>
        <w:t>s Proven R</w:t>
      </w:r>
      <w:r>
        <w:rPr>
          <w:b/>
          <w:sz w:val="28"/>
          <w:szCs w:val="26"/>
        </w:rPr>
        <w:t>eserves of oil to be 0.66 billion barrels.</w:t>
      </w:r>
      <w:r>
        <w:rPr>
          <w:b/>
          <w:sz w:val="28"/>
          <w:szCs w:val="26"/>
        </w:rPr>
        <w:t xml:space="preserve"> Ghana is the 11</w:t>
      </w:r>
      <w:r>
        <w:rPr>
          <w:b/>
          <w:sz w:val="28"/>
          <w:szCs w:val="26"/>
          <w:vertAlign w:val="superscript"/>
        </w:rPr>
        <w:t>th</w:t>
      </w:r>
      <w:r>
        <w:rPr>
          <w:b/>
          <w:sz w:val="28"/>
          <w:szCs w:val="26"/>
        </w:rPr>
        <w:t xml:space="preserve"> and 47</w:t>
      </w:r>
      <w:r>
        <w:rPr>
          <w:b/>
          <w:sz w:val="28"/>
          <w:szCs w:val="26"/>
          <w:vertAlign w:val="superscript"/>
        </w:rPr>
        <w:t>th</w:t>
      </w:r>
      <w:r>
        <w:rPr>
          <w:b/>
          <w:sz w:val="28"/>
          <w:szCs w:val="26"/>
        </w:rPr>
        <w:t xml:space="preserve"> largest oil manufacture in Africa and the world respectively.</w:t>
      </w:r>
    </w:p>
    <w:p>
      <w:pPr>
        <w:pStyle w:val="style0"/>
        <w:rPr>
          <w:b/>
          <w:sz w:val="28"/>
          <w:szCs w:val="26"/>
        </w:rPr>
      </w:pPr>
      <w:r>
        <w:rPr>
          <w:b/>
          <w:sz w:val="28"/>
          <w:szCs w:val="26"/>
        </w:rPr>
        <w:t>It took Ghana only three and a half years since discovery of oil in June 2007, until commercial production commenced in December of 2010. That said</w:t>
      </w:r>
      <w:r>
        <w:rPr>
          <w:b/>
          <w:sz w:val="28"/>
          <w:szCs w:val="26"/>
        </w:rPr>
        <w:t>,</w:t>
      </w:r>
      <w:r>
        <w:rPr>
          <w:b/>
          <w:sz w:val="28"/>
          <w:szCs w:val="26"/>
        </w:rPr>
        <w:t xml:space="preserve"> there have now been some unexpected delays, which have impended the ramp-up of production at the Jubilee field. </w:t>
      </w:r>
      <w:r>
        <w:rPr>
          <w:b/>
          <w:sz w:val="28"/>
          <w:szCs w:val="26"/>
        </w:rPr>
        <w:t>Tullow</w:t>
      </w:r>
      <w:r>
        <w:rPr>
          <w:b/>
          <w:sz w:val="28"/>
          <w:szCs w:val="26"/>
        </w:rPr>
        <w:t xml:space="preserve"> has lon</w:t>
      </w:r>
      <w:r>
        <w:rPr>
          <w:b/>
          <w:sz w:val="28"/>
          <w:szCs w:val="26"/>
        </w:rPr>
        <w:t>g targeted 120,000BPD of crude oi</w:t>
      </w:r>
      <w:r>
        <w:rPr>
          <w:b/>
          <w:sz w:val="28"/>
          <w:szCs w:val="26"/>
        </w:rPr>
        <w:t>l output a</w:t>
      </w:r>
      <w:r>
        <w:rPr>
          <w:b/>
          <w:sz w:val="28"/>
          <w:szCs w:val="26"/>
        </w:rPr>
        <w:t>t Jubilee and had once hoped to reach</w:t>
      </w:r>
      <w:r>
        <w:rPr>
          <w:b/>
          <w:sz w:val="28"/>
          <w:szCs w:val="26"/>
        </w:rPr>
        <w:t xml:space="preserve"> that</w:t>
      </w:r>
      <w:r>
        <w:rPr>
          <w:b/>
          <w:sz w:val="28"/>
          <w:szCs w:val="26"/>
        </w:rPr>
        <w:t xml:space="preserve"> by 2011. In January 2013, the company said it was producing 110,000BPD of cr</w:t>
      </w:r>
      <w:r>
        <w:rPr>
          <w:b/>
          <w:sz w:val="28"/>
          <w:szCs w:val="26"/>
        </w:rPr>
        <w:t xml:space="preserve">ude. Ghana originally aimed for output of 250,000 BPD by 2013, a production level – this would put the nation among the world’s top 50 producers. </w:t>
      </w:r>
    </w:p>
    <w:p>
      <w:pPr>
        <w:pStyle w:val="style0"/>
        <w:rPr>
          <w:b/>
          <w:sz w:val="28"/>
          <w:szCs w:val="26"/>
        </w:rPr>
      </w:pPr>
      <w:r>
        <w:rPr>
          <w:b/>
          <w:sz w:val="28"/>
          <w:szCs w:val="26"/>
        </w:rPr>
        <w:t>KEY Stakeholders;</w:t>
      </w:r>
    </w:p>
    <w:p>
      <w:pPr>
        <w:pStyle w:val="style0"/>
        <w:rPr>
          <w:b/>
          <w:sz w:val="28"/>
          <w:szCs w:val="26"/>
        </w:rPr>
      </w:pPr>
      <w:r>
        <w:rPr>
          <w:b/>
          <w:sz w:val="28"/>
          <w:szCs w:val="26"/>
        </w:rPr>
        <w:t xml:space="preserve">UK-listed operator </w:t>
      </w:r>
      <w:r>
        <w:rPr>
          <w:b/>
          <w:sz w:val="28"/>
          <w:szCs w:val="26"/>
        </w:rPr>
        <w:t>Tullow</w:t>
      </w:r>
      <w:r>
        <w:rPr>
          <w:b/>
          <w:sz w:val="28"/>
          <w:szCs w:val="26"/>
        </w:rPr>
        <w:t xml:space="preserve"> holds a 36.05% stake in Jubilee. Other shareholders include:</w:t>
      </w:r>
    </w:p>
    <w:p>
      <w:pPr>
        <w:pStyle w:val="style179"/>
        <w:numPr>
          <w:ilvl w:val="0"/>
          <w:numId w:val="2"/>
        </w:numPr>
        <w:rPr>
          <w:b/>
          <w:sz w:val="28"/>
          <w:szCs w:val="26"/>
        </w:rPr>
      </w:pPr>
      <w:r>
        <w:rPr>
          <w:b/>
          <w:sz w:val="28"/>
          <w:szCs w:val="26"/>
        </w:rPr>
        <w:t xml:space="preserve"> State oil firm Ghana National Petroleum Corporation (GNPC) with 13.75%</w:t>
      </w:r>
    </w:p>
    <w:p>
      <w:pPr>
        <w:pStyle w:val="style179"/>
        <w:numPr>
          <w:ilvl w:val="0"/>
          <w:numId w:val="2"/>
        </w:numPr>
        <w:rPr>
          <w:b/>
          <w:sz w:val="28"/>
          <w:szCs w:val="26"/>
        </w:rPr>
      </w:pPr>
      <w:r>
        <w:rPr>
          <w:b/>
          <w:sz w:val="28"/>
          <w:szCs w:val="26"/>
        </w:rPr>
        <w:t xml:space="preserve">Private investment group </w:t>
      </w:r>
      <w:r>
        <w:rPr>
          <w:b/>
          <w:sz w:val="28"/>
          <w:szCs w:val="26"/>
        </w:rPr>
        <w:t>Kosmos</w:t>
      </w:r>
      <w:r>
        <w:rPr>
          <w:b/>
          <w:sz w:val="28"/>
          <w:szCs w:val="26"/>
        </w:rPr>
        <w:t xml:space="preserve"> with 23.49%,</w:t>
      </w:r>
    </w:p>
    <w:p>
      <w:pPr>
        <w:pStyle w:val="style179"/>
        <w:numPr>
          <w:ilvl w:val="0"/>
          <w:numId w:val="2"/>
        </w:numPr>
        <w:rPr>
          <w:b/>
          <w:sz w:val="28"/>
          <w:szCs w:val="26"/>
        </w:rPr>
      </w:pPr>
      <w:r>
        <w:rPr>
          <w:b/>
          <w:sz w:val="28"/>
          <w:szCs w:val="26"/>
        </w:rPr>
        <w:t>Anadarko Petroleum Corp</w:t>
      </w:r>
      <w:r>
        <w:rPr>
          <w:b/>
          <w:sz w:val="28"/>
          <w:szCs w:val="26"/>
        </w:rPr>
        <w:t xml:space="preserve"> with 23.49 and </w:t>
      </w:r>
    </w:p>
    <w:p>
      <w:pPr>
        <w:pStyle w:val="style179"/>
        <w:numPr>
          <w:ilvl w:val="0"/>
          <w:numId w:val="2"/>
        </w:numPr>
        <w:rPr>
          <w:b/>
          <w:sz w:val="28"/>
          <w:szCs w:val="26"/>
        </w:rPr>
      </w:pPr>
      <w:r>
        <w:rPr>
          <w:b/>
          <w:sz w:val="28"/>
          <w:szCs w:val="26"/>
        </w:rPr>
        <w:t xml:space="preserve"> </w:t>
      </w:r>
      <w:r>
        <w:rPr>
          <w:b/>
          <w:sz w:val="28"/>
          <w:szCs w:val="26"/>
        </w:rPr>
        <w:t>Sabre</w:t>
      </w:r>
      <w:r>
        <w:rPr>
          <w:b/>
          <w:sz w:val="28"/>
          <w:szCs w:val="26"/>
        </w:rPr>
        <w:t xml:space="preserve"> Oil and Gas with 2.81%.</w:t>
      </w: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r>
        <w:rPr>
          <w:b/>
          <w:sz w:val="28"/>
          <w:szCs w:val="26"/>
        </w:rPr>
        <w:t xml:space="preserve">WEST AFRICA PROVEN CRUDE OIL RESERVES </w:t>
      </w:r>
    </w:p>
    <w:p>
      <w:pPr>
        <w:pStyle w:val="style179"/>
        <w:rPr>
          <w:b/>
          <w:sz w:val="28"/>
          <w:szCs w:val="26"/>
        </w:rPr>
      </w:pPr>
    </w:p>
    <w:p>
      <w:pPr>
        <w:pStyle w:val="style179"/>
        <w:rPr>
          <w:b/>
          <w:sz w:val="28"/>
          <w:szCs w:val="26"/>
        </w:rPr>
      </w:pPr>
      <w:r>
        <w:rPr>
          <w:b/>
          <w:sz w:val="28"/>
          <w:szCs w:val="26"/>
        </w:rPr>
        <w:t>The Jubilee field is considered to be the largest find offshore West Africa in the last decade. The field produces light, sweet crude, much of which is used by refiners in Europe.</w:t>
      </w:r>
      <w:r>
        <w:rPr>
          <w:b/>
          <w:sz w:val="28"/>
          <w:szCs w:val="26"/>
        </w:rPr>
        <w:t xml:space="preserve"> </w:t>
      </w:r>
      <w:r>
        <w:rPr>
          <w:b/>
          <w:sz w:val="28"/>
          <w:szCs w:val="26"/>
        </w:rPr>
        <w:t xml:space="preserve">The rate of new oil reserves in Africa has been the fastest in the world in the past five years, according to the U.S. corporate Council on Africa. Most of these new proven reserves have been found around the Gulf of Guinea. West Africa, mainly Angola and Nigeria, now supplies about 15 percent of U.S. oil imports, and U.S. </w:t>
      </w:r>
      <w:r>
        <w:rPr>
          <w:b/>
          <w:sz w:val="28"/>
          <w:szCs w:val="26"/>
        </w:rPr>
        <w:t>officials</w:t>
      </w:r>
      <w:r>
        <w:rPr>
          <w:b/>
          <w:sz w:val="28"/>
          <w:szCs w:val="26"/>
        </w:rPr>
        <w:t xml:space="preserve"> project Africa oil could account for 25% of their country’s crude imports by 2015. A key factor in U.S. calculation is the role </w:t>
      </w:r>
      <w:r>
        <w:rPr>
          <w:b/>
          <w:sz w:val="28"/>
          <w:szCs w:val="26"/>
        </w:rPr>
        <w:t>played</w:t>
      </w:r>
      <w:r>
        <w:rPr>
          <w:b/>
          <w:sz w:val="28"/>
          <w:szCs w:val="26"/>
        </w:rPr>
        <w:t xml:space="preserve"> West Africa by the quota-setting Organization of the Petroleum Exporting Countries (OPEC) or, more accurately, the lack of a role. The only OPEC member in West Africa is Nigeria.</w:t>
      </w:r>
    </w:p>
    <w:p>
      <w:pPr>
        <w:pStyle w:val="style179"/>
        <w:rPr>
          <w:b/>
          <w:sz w:val="28"/>
          <w:szCs w:val="26"/>
        </w:rPr>
      </w:pPr>
    </w:p>
    <w:p>
      <w:pPr>
        <w:pStyle w:val="style179"/>
        <w:rPr>
          <w:b/>
          <w:sz w:val="28"/>
          <w:szCs w:val="26"/>
        </w:rPr>
      </w:pPr>
      <w:r>
        <w:rPr>
          <w:b/>
          <w:sz w:val="28"/>
          <w:szCs w:val="26"/>
        </w:rPr>
        <w:t xml:space="preserve"> </w:t>
      </w:r>
      <w:r>
        <w:rPr>
          <w:b/>
          <w:sz w:val="28"/>
          <w:szCs w:val="26"/>
        </w:rPr>
        <w:t>WEST AFRICA RANKING OF CRUDE OIL RESERVES;</w:t>
      </w:r>
    </w:p>
    <w:tbl>
      <w:tblPr>
        <w:tblStyle w:val="style154"/>
        <w:tblW w:w="0" w:type="auto"/>
        <w:tblInd w:w="720" w:type="dxa"/>
        <w:tblLook w:firstRow="0" w:lastRow="0" w:firstColumn="0" w:lastColumn="0" w:noHBand="0" w:noVBand="1"/>
      </w:tblPr>
      <w:tblGrid>
        <w:gridCol w:w="1075"/>
        <w:gridCol w:w="3202"/>
        <w:gridCol w:w="2099"/>
        <w:gridCol w:w="2254"/>
      </w:tblGrid>
      <w:tr>
        <w:trPr/>
        <w:tc>
          <w:tcPr>
            <w:tcW w:w="1075" w:type="dxa"/>
            <w:tcBorders/>
            <w:tcFitText w:val="false"/>
          </w:tcPr>
          <w:p>
            <w:pPr>
              <w:pStyle w:val="style179"/>
              <w:ind w:left="0"/>
              <w:rPr>
                <w:b/>
                <w:sz w:val="28"/>
                <w:szCs w:val="26"/>
              </w:rPr>
            </w:pPr>
            <w:r>
              <w:rPr>
                <w:b/>
                <w:sz w:val="28"/>
                <w:szCs w:val="26"/>
              </w:rPr>
              <w:t>RANK</w:t>
            </w:r>
          </w:p>
        </w:tc>
        <w:tc>
          <w:tcPr>
            <w:tcW w:w="3202" w:type="dxa"/>
            <w:tcBorders/>
            <w:tcFitText w:val="false"/>
          </w:tcPr>
          <w:p>
            <w:pPr>
              <w:pStyle w:val="style179"/>
              <w:ind w:left="0"/>
              <w:rPr>
                <w:b/>
                <w:sz w:val="28"/>
                <w:szCs w:val="26"/>
              </w:rPr>
            </w:pPr>
            <w:r>
              <w:rPr>
                <w:b/>
                <w:sz w:val="28"/>
                <w:szCs w:val="26"/>
              </w:rPr>
              <w:t>COUNTRY</w:t>
            </w:r>
          </w:p>
        </w:tc>
        <w:tc>
          <w:tcPr>
            <w:tcW w:w="2099" w:type="dxa"/>
            <w:tcBorders/>
            <w:tcFitText w:val="false"/>
          </w:tcPr>
          <w:p>
            <w:pPr>
              <w:pStyle w:val="style179"/>
              <w:ind w:left="0"/>
              <w:rPr>
                <w:b/>
                <w:sz w:val="28"/>
                <w:szCs w:val="26"/>
              </w:rPr>
            </w:pPr>
            <w:r>
              <w:rPr>
                <w:b/>
                <w:sz w:val="28"/>
                <w:szCs w:val="26"/>
              </w:rPr>
              <w:t xml:space="preserve">(BBL) </w:t>
            </w:r>
          </w:p>
        </w:tc>
        <w:tc>
          <w:tcPr>
            <w:tcW w:w="2254" w:type="dxa"/>
            <w:tcBorders/>
            <w:tcFitText w:val="false"/>
          </w:tcPr>
          <w:p>
            <w:pPr>
              <w:pStyle w:val="style179"/>
              <w:ind w:left="0"/>
              <w:rPr>
                <w:b/>
                <w:sz w:val="28"/>
                <w:szCs w:val="26"/>
              </w:rPr>
            </w:pPr>
            <w:r>
              <w:rPr>
                <w:b/>
                <w:sz w:val="28"/>
                <w:szCs w:val="26"/>
              </w:rPr>
              <w:t xml:space="preserve">DATE OF </w:t>
            </w:r>
            <w:r>
              <w:rPr>
                <w:b/>
                <w:sz w:val="28"/>
                <w:szCs w:val="26"/>
              </w:rPr>
              <w:t>INFORMATION</w:t>
            </w:r>
          </w:p>
        </w:tc>
      </w:tr>
      <w:tr>
        <w:tblPrEx/>
        <w:trPr/>
        <w:tc>
          <w:tcPr>
            <w:tcW w:w="1075" w:type="dxa"/>
            <w:tcBorders/>
            <w:tcFitText w:val="false"/>
          </w:tcPr>
          <w:p>
            <w:pPr>
              <w:pStyle w:val="style179"/>
              <w:ind w:left="0"/>
              <w:rPr>
                <w:b/>
                <w:sz w:val="28"/>
                <w:szCs w:val="26"/>
              </w:rPr>
            </w:pPr>
            <w:r>
              <w:rPr>
                <w:b/>
                <w:sz w:val="28"/>
                <w:szCs w:val="26"/>
              </w:rPr>
              <w:t>2</w:t>
            </w:r>
          </w:p>
        </w:tc>
        <w:tc>
          <w:tcPr>
            <w:tcW w:w="3202" w:type="dxa"/>
            <w:tcBorders/>
            <w:tcFitText w:val="false"/>
          </w:tcPr>
          <w:p>
            <w:pPr>
              <w:pStyle w:val="style179"/>
              <w:ind w:left="0"/>
              <w:rPr>
                <w:b/>
                <w:sz w:val="28"/>
                <w:szCs w:val="26"/>
              </w:rPr>
            </w:pPr>
            <w:r>
              <w:rPr>
                <w:b/>
                <w:sz w:val="28"/>
                <w:szCs w:val="26"/>
              </w:rPr>
              <w:t>N</w:t>
            </w:r>
            <w:r>
              <w:rPr>
                <w:b/>
                <w:sz w:val="28"/>
                <w:szCs w:val="26"/>
              </w:rPr>
              <w:t>I</w:t>
            </w:r>
            <w:r>
              <w:rPr>
                <w:b/>
                <w:sz w:val="28"/>
                <w:szCs w:val="26"/>
              </w:rPr>
              <w:t>GERIA</w:t>
            </w:r>
          </w:p>
        </w:tc>
        <w:tc>
          <w:tcPr>
            <w:tcW w:w="2099" w:type="dxa"/>
            <w:tcBorders/>
            <w:tcFitText w:val="false"/>
          </w:tcPr>
          <w:p>
            <w:pPr>
              <w:pStyle w:val="style179"/>
              <w:ind w:left="0"/>
              <w:rPr>
                <w:b/>
                <w:sz w:val="28"/>
                <w:szCs w:val="26"/>
              </w:rPr>
            </w:pPr>
            <w:r>
              <w:rPr>
                <w:b/>
                <w:sz w:val="28"/>
                <w:szCs w:val="26"/>
              </w:rPr>
              <w:t>37,070,000,000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11</w:t>
            </w:r>
          </w:p>
        </w:tc>
        <w:tc>
          <w:tcPr>
            <w:tcW w:w="3202" w:type="dxa"/>
            <w:tcBorders/>
            <w:tcFitText w:val="false"/>
          </w:tcPr>
          <w:p>
            <w:pPr>
              <w:pStyle w:val="style179"/>
              <w:ind w:left="0"/>
              <w:rPr>
                <w:b/>
                <w:sz w:val="28"/>
                <w:szCs w:val="26"/>
              </w:rPr>
            </w:pPr>
            <w:r>
              <w:rPr>
                <w:b/>
                <w:sz w:val="28"/>
                <w:szCs w:val="26"/>
              </w:rPr>
              <w:t>GHANA</w:t>
            </w:r>
          </w:p>
        </w:tc>
        <w:tc>
          <w:tcPr>
            <w:tcW w:w="2099" w:type="dxa"/>
            <w:tcBorders/>
            <w:tcFitText w:val="false"/>
          </w:tcPr>
          <w:p>
            <w:pPr>
              <w:pStyle w:val="style179"/>
              <w:ind w:left="0"/>
              <w:rPr>
                <w:b/>
                <w:sz w:val="28"/>
                <w:szCs w:val="26"/>
              </w:rPr>
            </w:pPr>
            <w:r>
              <w:rPr>
                <w:b/>
                <w:sz w:val="28"/>
                <w:szCs w:val="26"/>
              </w:rPr>
              <w:t>660,000,000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17</w:t>
            </w:r>
          </w:p>
        </w:tc>
        <w:tc>
          <w:tcPr>
            <w:tcW w:w="3202" w:type="dxa"/>
            <w:tcBorders/>
            <w:tcFitText w:val="false"/>
          </w:tcPr>
          <w:p>
            <w:pPr>
              <w:pStyle w:val="style179"/>
              <w:ind w:left="0"/>
              <w:rPr>
                <w:b/>
                <w:sz w:val="28"/>
                <w:szCs w:val="26"/>
              </w:rPr>
            </w:pPr>
            <w:r>
              <w:rPr>
                <w:b/>
                <w:sz w:val="28"/>
                <w:szCs w:val="26"/>
              </w:rPr>
              <w:t>NIGER</w:t>
            </w:r>
          </w:p>
        </w:tc>
        <w:tc>
          <w:tcPr>
            <w:tcW w:w="2099" w:type="dxa"/>
            <w:tcBorders/>
            <w:tcFitText w:val="false"/>
          </w:tcPr>
          <w:p>
            <w:pPr>
              <w:pStyle w:val="style179"/>
              <w:ind w:left="0"/>
              <w:rPr>
                <w:b/>
                <w:sz w:val="28"/>
                <w:szCs w:val="26"/>
              </w:rPr>
            </w:pPr>
            <w:r>
              <w:rPr>
                <w:b/>
                <w:sz w:val="28"/>
                <w:szCs w:val="26"/>
              </w:rPr>
              <w:t>150,000,000</w:t>
            </w:r>
          </w:p>
        </w:tc>
        <w:tc>
          <w:tcPr>
            <w:tcW w:w="2254" w:type="dxa"/>
            <w:tcBorders/>
            <w:tcFitText w:val="false"/>
          </w:tcPr>
          <w:p>
            <w:pPr>
              <w:pStyle w:val="style179"/>
              <w:ind w:left="0"/>
              <w:rPr>
                <w:b/>
                <w:sz w:val="28"/>
                <w:szCs w:val="26"/>
              </w:rPr>
            </w:pPr>
            <w:r>
              <w:rPr>
                <w:b/>
                <w:sz w:val="28"/>
                <w:szCs w:val="26"/>
              </w:rPr>
              <w:t>JULY 7, 1905 EST</w:t>
            </w:r>
          </w:p>
        </w:tc>
      </w:tr>
      <w:tr>
        <w:tblPrEx/>
        <w:trPr/>
        <w:tc>
          <w:tcPr>
            <w:tcW w:w="1075" w:type="dxa"/>
            <w:tcBorders/>
            <w:tcFitText w:val="false"/>
          </w:tcPr>
          <w:p>
            <w:pPr>
              <w:pStyle w:val="style179"/>
              <w:ind w:left="0"/>
              <w:rPr>
                <w:b/>
                <w:sz w:val="28"/>
                <w:szCs w:val="26"/>
              </w:rPr>
            </w:pPr>
            <w:r>
              <w:rPr>
                <w:b/>
                <w:sz w:val="28"/>
                <w:szCs w:val="26"/>
              </w:rPr>
              <w:t>9</w:t>
            </w:r>
          </w:p>
        </w:tc>
        <w:tc>
          <w:tcPr>
            <w:tcW w:w="3202" w:type="dxa"/>
            <w:tcBorders/>
            <w:tcFitText w:val="false"/>
          </w:tcPr>
          <w:p>
            <w:pPr>
              <w:pStyle w:val="style179"/>
              <w:ind w:left="0"/>
              <w:rPr>
                <w:b/>
                <w:sz w:val="28"/>
                <w:szCs w:val="26"/>
              </w:rPr>
            </w:pPr>
            <w:r>
              <w:rPr>
                <w:b/>
                <w:sz w:val="28"/>
                <w:szCs w:val="26"/>
              </w:rPr>
              <w:t>BENIN</w:t>
            </w:r>
          </w:p>
        </w:tc>
        <w:tc>
          <w:tcPr>
            <w:tcW w:w="2099" w:type="dxa"/>
            <w:tcBorders/>
            <w:tcFitText w:val="false"/>
          </w:tcPr>
          <w:p>
            <w:pPr>
              <w:pStyle w:val="style179"/>
              <w:ind w:left="0"/>
              <w:rPr>
                <w:b/>
                <w:sz w:val="28"/>
                <w:szCs w:val="26"/>
              </w:rPr>
            </w:pPr>
            <w:r>
              <w:rPr>
                <w:b/>
                <w:sz w:val="28"/>
                <w:szCs w:val="26"/>
              </w:rPr>
              <w:t>8,000,000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13</w:t>
            </w:r>
          </w:p>
        </w:tc>
        <w:tc>
          <w:tcPr>
            <w:tcW w:w="3202" w:type="dxa"/>
            <w:tcBorders/>
            <w:tcFitText w:val="false"/>
          </w:tcPr>
          <w:p>
            <w:pPr>
              <w:pStyle w:val="style179"/>
              <w:ind w:left="0"/>
              <w:rPr>
                <w:b/>
                <w:sz w:val="28"/>
                <w:szCs w:val="26"/>
              </w:rPr>
            </w:pPr>
            <w:r>
              <w:rPr>
                <w:b/>
                <w:sz w:val="28"/>
                <w:szCs w:val="26"/>
              </w:rPr>
              <w:t>LIBERIA</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CAPE VERDE</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GAMBIA</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15</w:t>
            </w:r>
          </w:p>
        </w:tc>
        <w:tc>
          <w:tcPr>
            <w:tcW w:w="3202" w:type="dxa"/>
            <w:tcBorders/>
            <w:tcFitText w:val="false"/>
          </w:tcPr>
          <w:p>
            <w:pPr>
              <w:pStyle w:val="style179"/>
              <w:ind w:left="0"/>
              <w:rPr>
                <w:b/>
                <w:sz w:val="28"/>
                <w:szCs w:val="26"/>
              </w:rPr>
            </w:pPr>
            <w:r>
              <w:rPr>
                <w:b/>
                <w:sz w:val="28"/>
                <w:szCs w:val="26"/>
              </w:rPr>
              <w:t>SENEGAL</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18</w:t>
            </w:r>
          </w:p>
        </w:tc>
        <w:tc>
          <w:tcPr>
            <w:tcW w:w="3202" w:type="dxa"/>
            <w:tcBorders/>
            <w:tcFitText w:val="false"/>
          </w:tcPr>
          <w:p>
            <w:pPr>
              <w:pStyle w:val="style179"/>
              <w:ind w:left="0"/>
              <w:rPr>
                <w:b/>
                <w:sz w:val="28"/>
                <w:szCs w:val="26"/>
              </w:rPr>
            </w:pPr>
            <w:r>
              <w:rPr>
                <w:b/>
                <w:sz w:val="28"/>
                <w:szCs w:val="26"/>
              </w:rPr>
              <w:t>MAURITANIA</w:t>
            </w:r>
          </w:p>
        </w:tc>
        <w:tc>
          <w:tcPr>
            <w:tcW w:w="2099" w:type="dxa"/>
            <w:tcBorders/>
            <w:tcFitText w:val="false"/>
          </w:tcPr>
          <w:p>
            <w:pPr>
              <w:pStyle w:val="style179"/>
              <w:ind w:left="0"/>
              <w:rPr>
                <w:b/>
                <w:sz w:val="28"/>
                <w:szCs w:val="26"/>
              </w:rPr>
            </w:pPr>
            <w:r>
              <w:rPr>
                <w:b/>
                <w:sz w:val="28"/>
                <w:szCs w:val="26"/>
              </w:rPr>
              <w:t>600,000,000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15</w:t>
            </w:r>
          </w:p>
        </w:tc>
        <w:tc>
          <w:tcPr>
            <w:tcW w:w="3202" w:type="dxa"/>
            <w:tcBorders/>
            <w:tcFitText w:val="false"/>
          </w:tcPr>
          <w:p>
            <w:pPr>
              <w:pStyle w:val="style179"/>
              <w:ind w:left="0"/>
              <w:rPr>
                <w:b/>
                <w:sz w:val="28"/>
                <w:szCs w:val="26"/>
              </w:rPr>
            </w:pPr>
            <w:r>
              <w:rPr>
                <w:b/>
                <w:sz w:val="28"/>
                <w:szCs w:val="26"/>
              </w:rPr>
              <w:t>COTE D’IVOIRE</w:t>
            </w:r>
          </w:p>
        </w:tc>
        <w:tc>
          <w:tcPr>
            <w:tcW w:w="2099" w:type="dxa"/>
            <w:tcBorders/>
            <w:tcFitText w:val="false"/>
          </w:tcPr>
          <w:p>
            <w:pPr>
              <w:pStyle w:val="style179"/>
              <w:ind w:left="0"/>
              <w:rPr>
                <w:b/>
                <w:sz w:val="28"/>
                <w:szCs w:val="26"/>
              </w:rPr>
            </w:pPr>
            <w:r>
              <w:rPr>
                <w:b/>
                <w:sz w:val="28"/>
                <w:szCs w:val="26"/>
              </w:rPr>
              <w:t>100,000,000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SIERRA LEONE</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GUINEA BISSAU</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MALI</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TOGO</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EQUATORIAL GUINEA</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p>
        </w:tc>
        <w:tc>
          <w:tcPr>
            <w:tcW w:w="2099" w:type="dxa"/>
            <w:tcBorders/>
            <w:tcFitText w:val="false"/>
          </w:tcPr>
          <w:p>
            <w:pPr>
              <w:pStyle w:val="style179"/>
              <w:ind w:left="0"/>
              <w:rPr>
                <w:b/>
                <w:sz w:val="28"/>
                <w:szCs w:val="26"/>
              </w:rPr>
            </w:pPr>
          </w:p>
        </w:tc>
        <w:tc>
          <w:tcPr>
            <w:tcW w:w="2254" w:type="dxa"/>
            <w:tcBorders/>
            <w:tcFitText w:val="false"/>
          </w:tcPr>
          <w:p>
            <w:pPr>
              <w:pStyle w:val="style179"/>
              <w:ind w:left="0"/>
              <w:rPr>
                <w:b/>
                <w:sz w:val="28"/>
                <w:szCs w:val="26"/>
              </w:rPr>
            </w:pPr>
          </w:p>
        </w:tc>
      </w:tr>
    </w:tbl>
    <w:p>
      <w:pPr>
        <w:pStyle w:val="style179"/>
        <w:rPr>
          <w:sz w:val="26"/>
          <w:szCs w:val="2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1AE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6F4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Words>1181</Words>
  <Characters>6047</Characters>
  <Application>Kingsoft Office Writer</Application>
  <DocSecurity>0</DocSecurity>
  <Paragraphs>223</Paragraphs>
  <ScaleCrop>false</ScaleCrop>
  <Company>Hewlett-Packard</Company>
  <LinksUpToDate>false</LinksUpToDate>
  <CharactersWithSpaces>7091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2016-11-08T20:36:00Z</dcterms:created>
  <dc:creator>GIDS HAJJI KAY</dc:creator>
  <lastModifiedBy>Kingsoft Office</lastModifiedBy>
  <dcterms:modified xsi:type="dcterms:W3CDTF">2017-12-14T18:13:54Z</dcterms:modified>
  <revision>6</revision>
</coreProperties>
</file>