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UMOESSIEN EMEMOBONG DAVID 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COLLEGE: ENGINEERING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17/ENG0</w:t>
      </w:r>
      <w:r>
        <w:rPr>
          <w:rFonts w:ascii="Times New Roman" w:cs="Times New Roman" w:hAnsi="Times New Roman"/>
          <w:sz w:val="32"/>
          <w:szCs w:val="32"/>
          <w:lang w:val="en-US"/>
        </w:rPr>
        <w:t>1/029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  <w:lang w:val="en-US"/>
        </w:rPr>
        <w:t>CHEM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ICAL ENGINEERING 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/>
        <w:drawing>
          <wp:inline distT="0" distB="0" distR="0" distL="0">
            <wp:extent cx="1293495" cy="1293495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93495" cy="12934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27"/>
        <w:gridCol w:w="4195"/>
      </w:tblGrid>
      <w:tr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Words>368</Words>
  <Pages>3</Pages>
  <Characters>2029</Characters>
  <Application>WPS Office</Application>
  <DocSecurity>0</DocSecurity>
  <Paragraphs>95</Paragraphs>
  <ScaleCrop>false</ScaleCrop>
  <LinksUpToDate>false</LinksUpToDate>
  <CharactersWithSpaces>2391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2018-04-02T16:13:00Z</dcterms:created>
  <dc:creator>Annie</dc:creator>
  <lastModifiedBy>Infinix HOT 4</lastModifiedBy>
  <dcterms:modified xsi:type="dcterms:W3CDTF">2018-04-06T16:59:09Z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