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Name</w:t>
      </w:r>
      <w:r w:rsidR="00116829">
        <w:rPr>
          <w:rFonts w:ascii="Franklin Gothic Book" w:hAnsi="Franklin Gothic Book"/>
        </w:rPr>
        <w:t>: EZENWATA VICTOR CHUMA</w:t>
      </w:r>
      <w:bookmarkStart w:id="0" w:name="_GoBack"/>
      <w:bookmarkEnd w:id="0"/>
      <w:r w:rsidRPr="00637034">
        <w:rPr>
          <w:rFonts w:ascii="Franklin Gothic Book" w:hAnsi="Franklin Gothic Book"/>
        </w:rPr>
        <w:br/>
        <w:t>Ma</w:t>
      </w:r>
      <w:r w:rsidR="00116829">
        <w:rPr>
          <w:rFonts w:ascii="Franklin Gothic Book" w:hAnsi="Franklin Gothic Book"/>
        </w:rPr>
        <w:t>triculation Number: 17/ENG04/026</w:t>
      </w:r>
      <w:r w:rsidRPr="00637034">
        <w:rPr>
          <w:rFonts w:ascii="Franklin Gothic Book" w:hAnsi="Franklin Gothic Book"/>
        </w:rPr>
        <w:br/>
        <w:t>Department: ELECTRICAL &amp; ELECTRONICS ENGINEERING</w:t>
      </w:r>
      <w:r w:rsidRPr="00637034">
        <w:rPr>
          <w:rFonts w:ascii="Franklin Gothic Book" w:hAnsi="Franklin Gothic Book"/>
        </w:rPr>
        <w:b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55429D" w:rsidP="0055429D">
      <w:pPr>
        <w:pStyle w:val="ListParagraph"/>
        <w:spacing w:line="240" w:lineRule="auto"/>
        <w:ind w:left="2160"/>
        <w:jc w:val="both"/>
      </w:pPr>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28.35pt" o:ole="">
            <v:imagedata r:id="rId9" o:title=""/>
          </v:shape>
          <o:OLEObject Type="Embed" ProgID="PBrush" ShapeID="_x0000_i1025" DrawAspect="Content" ObjectID="_1584567813" r:id="rId10"/>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E93BCF"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xml:space="preserve">: - Penicillin, Streptomycin, </w:t>
      </w:r>
      <w:proofErr w:type="spellStart"/>
      <w:r w:rsidRPr="00192260">
        <w:rPr>
          <w:rFonts w:ascii="Times New Roman" w:eastAsia="Times New Roman" w:hAnsi="Times New Roman" w:cs="Times New Roman"/>
          <w:sz w:val="21"/>
          <w:szCs w:val="21"/>
        </w:rPr>
        <w:t>Chloromycetin</w:t>
      </w:r>
      <w:proofErr w:type="spellEnd"/>
      <w:r w:rsidRPr="00192260">
        <w:rPr>
          <w:rFonts w:ascii="Times New Roman" w:eastAsia="Times New Roman" w:hAnsi="Times New Roman" w:cs="Times New Roman"/>
          <w:sz w:val="21"/>
          <w:szCs w:val="21"/>
        </w:rPr>
        <w:t xml:space="preserve">, </w:t>
      </w:r>
      <w:proofErr w:type="spellStart"/>
      <w:r w:rsidRPr="00192260">
        <w:rPr>
          <w:rFonts w:ascii="Times New Roman" w:eastAsia="Times New Roman" w:hAnsi="Times New Roman" w:cs="Times New Roman"/>
          <w:sz w:val="21"/>
          <w:szCs w:val="21"/>
        </w:rPr>
        <w:t>Sulphadiazine</w:t>
      </w:r>
      <w:proofErr w:type="spellEnd"/>
      <w:r w:rsidRPr="00192260">
        <w:rPr>
          <w:rFonts w:ascii="Times New Roman" w:eastAsia="Times New Roman" w:hAnsi="Times New Roman" w:cs="Times New Roman"/>
          <w:sz w:val="21"/>
          <w:szCs w:val="21"/>
        </w:rPr>
        <w:t>,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1"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 xml:space="preserve">Two organic compounds were labelled A and B. A gave a positive test result (dark grey precipitate) to </w:t>
      </w:r>
      <w:proofErr w:type="spellStart"/>
      <w:r>
        <w:rPr>
          <w:sz w:val="21"/>
          <w:szCs w:val="21"/>
        </w:rPr>
        <w:t>Tollen’s</w:t>
      </w:r>
      <w:proofErr w:type="spellEnd"/>
      <w:r>
        <w:rPr>
          <w:sz w:val="21"/>
          <w:szCs w:val="21"/>
        </w:rPr>
        <w:t xml:space="preserve">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2"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3"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4"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5"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6"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7" w:tooltip="Aldehyde" w:history="1">
        <w:r w:rsidRPr="00CD28DC">
          <w:rPr>
            <w:rStyle w:val="Hyperlink"/>
            <w:color w:val="auto"/>
            <w:sz w:val="21"/>
            <w:szCs w:val="21"/>
            <w:u w:val="none"/>
          </w:rPr>
          <w:t>aldehydes</w:t>
        </w:r>
      </w:hyperlink>
      <w:r w:rsidRPr="00CD28DC">
        <w:rPr>
          <w:sz w:val="21"/>
          <w:szCs w:val="21"/>
        </w:rPr>
        <w:t xml:space="preserve"> and </w:t>
      </w:r>
      <w:hyperlink r:id="rId18"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9"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20" w:tooltip="Ketone" w:history="1">
        <w:r w:rsidRPr="00CD28DC">
          <w:rPr>
            <w:rStyle w:val="Hyperlink"/>
            <w:color w:val="auto"/>
            <w:sz w:val="21"/>
            <w:szCs w:val="21"/>
            <w:u w:val="none"/>
          </w:rPr>
          <w:t>ketone</w:t>
        </w:r>
      </w:hyperlink>
      <w:r w:rsidRPr="00CD28DC">
        <w:rPr>
          <w:sz w:val="21"/>
          <w:szCs w:val="21"/>
        </w:rPr>
        <w:t xml:space="preserve"> or </w:t>
      </w:r>
      <w:hyperlink r:id="rId21"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2" w:tooltip="Precipitate" w:history="1">
        <w:r w:rsidRPr="00CD28DC">
          <w:rPr>
            <w:rStyle w:val="Hyperlink"/>
            <w:color w:val="auto"/>
            <w:sz w:val="21"/>
            <w:szCs w:val="21"/>
            <w:u w:val="none"/>
          </w:rPr>
          <w:t>precipitate</w:t>
        </w:r>
      </w:hyperlink>
      <w:r w:rsidRPr="00CD28DC">
        <w:rPr>
          <w:sz w:val="21"/>
          <w:szCs w:val="21"/>
        </w:rPr>
        <w:t xml:space="preserve"> (known as a </w:t>
      </w:r>
      <w:hyperlink r:id="rId23"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13258B" w:rsidTr="003A39AF">
        <w:trPr>
          <w:trHeight w:val="214"/>
        </w:trPr>
        <w:tc>
          <w:tcPr>
            <w:tcW w:w="2652" w:type="dxa"/>
          </w:tcPr>
          <w:p w:rsidR="0013258B" w:rsidRDefault="0013258B" w:rsidP="00D42720">
            <w:pPr>
              <w:rPr>
                <w:sz w:val="21"/>
                <w:szCs w:val="21"/>
              </w:rPr>
            </w:pPr>
            <w:r>
              <w:rPr>
                <w:sz w:val="21"/>
                <w:szCs w:val="21"/>
              </w:rPr>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proofErr w:type="spellStart"/>
            <w:r>
              <w:t>Alkanoic</w:t>
            </w:r>
            <w:proofErr w:type="spellEnd"/>
            <w:r>
              <w:t xml:space="preserve">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E93BCF"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proofErr w:type="spellStart"/>
            <w:r>
              <w:rPr>
                <w:sz w:val="21"/>
                <w:szCs w:val="21"/>
              </w:rPr>
              <w:t>Alkanol</w:t>
            </w:r>
            <w:proofErr w:type="spellEnd"/>
            <w:r>
              <w:rPr>
                <w:sz w:val="21"/>
                <w:szCs w:val="21"/>
              </w:rPr>
              <w:t xml:space="preserve"> </w:t>
            </w:r>
          </w:p>
        </w:tc>
        <w:tc>
          <w:tcPr>
            <w:tcW w:w="2759" w:type="dxa"/>
          </w:tcPr>
          <w:p w:rsidR="0013258B" w:rsidRDefault="001E5FEF" w:rsidP="00D42720">
            <w:pPr>
              <w:rPr>
                <w:sz w:val="21"/>
                <w:szCs w:val="21"/>
              </w:rPr>
            </w:pPr>
            <w:r>
              <w:rPr>
                <w:sz w:val="21"/>
                <w:szCs w:val="21"/>
              </w:rPr>
              <w:t>R-OH</w:t>
            </w:r>
          </w:p>
        </w:tc>
        <w:tc>
          <w:tcPr>
            <w:tcW w:w="2706" w:type="dxa"/>
          </w:tcPr>
          <w:p w:rsidR="0013258B" w:rsidRDefault="00E93BCF"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E93BCF"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E93BCF"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E93BCF"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E93BCF"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E93BCF"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E93BCF"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E93BCF"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E93BCF"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E93BCF"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E93BCF"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CF" w:rsidRDefault="00E93BCF" w:rsidP="00D350FD">
      <w:pPr>
        <w:spacing w:after="0" w:line="240" w:lineRule="auto"/>
      </w:pPr>
      <w:r>
        <w:separator/>
      </w:r>
    </w:p>
  </w:endnote>
  <w:endnote w:type="continuationSeparator" w:id="0">
    <w:p w:rsidR="00E93BCF" w:rsidRDefault="00E93BCF"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116829" w:rsidRPr="00116829">
          <w:rPr>
            <w:b/>
            <w:bCs/>
            <w:noProof/>
            <w:sz w:val="18"/>
          </w:rPr>
          <w:t>1</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CF" w:rsidRDefault="00E93BCF" w:rsidP="00D350FD">
      <w:pPr>
        <w:spacing w:after="0" w:line="240" w:lineRule="auto"/>
      </w:pPr>
      <w:r>
        <w:separator/>
      </w:r>
    </w:p>
  </w:footnote>
  <w:footnote w:type="continuationSeparator" w:id="0">
    <w:p w:rsidR="00E93BCF" w:rsidRDefault="00E93BCF" w:rsidP="00D3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34"/>
    <w:rsid w:val="00054EAC"/>
    <w:rsid w:val="00062B4B"/>
    <w:rsid w:val="000B1E87"/>
    <w:rsid w:val="000B4CF5"/>
    <w:rsid w:val="00116829"/>
    <w:rsid w:val="0013258B"/>
    <w:rsid w:val="00192260"/>
    <w:rsid w:val="001A5282"/>
    <w:rsid w:val="001D5434"/>
    <w:rsid w:val="001E5FEF"/>
    <w:rsid w:val="0022354B"/>
    <w:rsid w:val="00267DF8"/>
    <w:rsid w:val="002A3970"/>
    <w:rsid w:val="003135CF"/>
    <w:rsid w:val="00351F2F"/>
    <w:rsid w:val="003A3102"/>
    <w:rsid w:val="003A39AF"/>
    <w:rsid w:val="004560D5"/>
    <w:rsid w:val="0050488D"/>
    <w:rsid w:val="0055429D"/>
    <w:rsid w:val="00637034"/>
    <w:rsid w:val="006A087A"/>
    <w:rsid w:val="007A287F"/>
    <w:rsid w:val="007A777E"/>
    <w:rsid w:val="007E2A9D"/>
    <w:rsid w:val="0081352B"/>
    <w:rsid w:val="0083004E"/>
    <w:rsid w:val="008457BB"/>
    <w:rsid w:val="00852191"/>
    <w:rsid w:val="008B57C8"/>
    <w:rsid w:val="00994D26"/>
    <w:rsid w:val="00A76BB2"/>
    <w:rsid w:val="00B84C9F"/>
    <w:rsid w:val="00BD57E2"/>
    <w:rsid w:val="00BE415B"/>
    <w:rsid w:val="00C34063"/>
    <w:rsid w:val="00CD28DC"/>
    <w:rsid w:val="00D350FD"/>
    <w:rsid w:val="00D42720"/>
    <w:rsid w:val="00DC4E0B"/>
    <w:rsid w:val="00E077D5"/>
    <w:rsid w:val="00E215B5"/>
    <w:rsid w:val="00E53136"/>
    <w:rsid w:val="00E93BCF"/>
    <w:rsid w:val="00ED551B"/>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paragraph" w:styleId="BalloonText">
    <w:name w:val="Balloon Text"/>
    <w:basedOn w:val="Normal"/>
    <w:link w:val="BalloonTextChar"/>
    <w:uiPriority w:val="99"/>
    <w:semiHidden/>
    <w:unhideWhenUsed/>
    <w:rsid w:val="0011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paragraph" w:styleId="BalloonText">
    <w:name w:val="Balloon Text"/>
    <w:basedOn w:val="Normal"/>
    <w:link w:val="BalloonTextChar"/>
    <w:uiPriority w:val="99"/>
    <w:semiHidden/>
    <w:unhideWhenUsed/>
    <w:rsid w:val="0011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ldehyde" TargetMode="External"/><Relationship Id="rId18" Type="http://schemas.openxmlformats.org/officeDocument/2006/relationships/hyperlink" Target="https://en.wikipedia.org/wiki/Keto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Aldehyde" TargetMode="External"/><Relationship Id="rId7" Type="http://schemas.openxmlformats.org/officeDocument/2006/relationships/footnotes" Target="footnotes.xml"/><Relationship Id="rId12" Type="http://schemas.openxmlformats.org/officeDocument/2006/relationships/hyperlink" Target="https://en.wikipedia.org/wiki/Carbonyl_group" TargetMode="External"/><Relationship Id="rId17" Type="http://schemas.openxmlformats.org/officeDocument/2006/relationships/hyperlink" Target="https://en.wikipedia.org/wiki/Aldehy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rbonyl_group" TargetMode="External"/><Relationship Id="rId20" Type="http://schemas.openxmlformats.org/officeDocument/2006/relationships/hyperlink" Target="https://en.wikipedia.org/wiki/Ket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fferencebetween.com/difference-between-aromatic-and-vs-aliphati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Chemical_compound" TargetMode="External"/><Relationship Id="rId23" Type="http://schemas.openxmlformats.org/officeDocument/2006/relationships/hyperlink" Target="https://en.wikipedia.org/w/index.php?title=Dinitrophenylhydrazone&amp;action=edit&amp;redlink=1" TargetMode="External"/><Relationship Id="rId10" Type="http://schemas.openxmlformats.org/officeDocument/2006/relationships/oleObject" Target="embeddings/oleObject1.bin"/><Relationship Id="rId19" Type="http://schemas.openxmlformats.org/officeDocument/2006/relationships/hyperlink" Target="https://en.wikipedia.org/wiki/Chemical_t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Ketone" TargetMode="External"/><Relationship Id="rId22" Type="http://schemas.openxmlformats.org/officeDocument/2006/relationships/hyperlink" Target="https://en.wikipedia.org/wiki/Precip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7E58-4AB1-4610-A0BD-F3B99F42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USER</cp:lastModifiedBy>
  <cp:revision>2</cp:revision>
  <dcterms:created xsi:type="dcterms:W3CDTF">2018-04-06T23:57:00Z</dcterms:created>
  <dcterms:modified xsi:type="dcterms:W3CDTF">2018-04-06T23:57:00Z</dcterms:modified>
</cp:coreProperties>
</file>