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NAME: </w:t>
      </w:r>
      <w:r>
        <w:rPr>
          <w:rFonts w:ascii="Baskerville Old Face" w:cs="Times New Roman" w:hAnsi="Baskerville Old Face"/>
          <w:sz w:val="32"/>
          <w:szCs w:val="32"/>
        </w:rPr>
        <w:t xml:space="preserve">NWAGWUAGWU TOCHUKWU DAISY 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 ENGINEERING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 17/ENG0</w:t>
      </w:r>
      <w:r>
        <w:rPr>
          <w:rFonts w:ascii="Baskerville Old Face" w:cs="Times New Roman" w:hAnsi="Baskerville Old Face"/>
          <w:sz w:val="32"/>
          <w:szCs w:val="32"/>
        </w:rPr>
        <w:t>4</w:t>
      </w:r>
      <w:r>
        <w:rPr>
          <w:rFonts w:ascii="Baskerville Old Face" w:cs="Times New Roman" w:hAnsi="Baskerville Old Face"/>
          <w:sz w:val="32"/>
          <w:szCs w:val="32"/>
        </w:rPr>
        <w:t>/0</w:t>
      </w:r>
      <w:r>
        <w:rPr>
          <w:rFonts w:ascii="Baskerville Old Face" w:cs="Times New Roman" w:hAnsi="Baskerville Old Face"/>
          <w:sz w:val="32"/>
          <w:szCs w:val="32"/>
        </w:rPr>
        <w:t>43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DEPARTMENT: 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>ELECTRICAL</w:t>
      </w:r>
      <w:r>
        <w:rPr>
          <w:rFonts w:ascii="Baskerville Old Face" w:cs="Times New Roman" w:hAnsi="Baskerville Old Face"/>
          <w:sz w:val="32"/>
          <w:szCs w:val="32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 xml:space="preserve">ELECTRONICS </w:t>
      </w:r>
      <w:r>
        <w:rPr>
          <w:rFonts w:ascii="Baskerville Old Face" w:cs="Times New Roman" w:hAnsi="Baskerville Old Face"/>
          <w:sz w:val="32"/>
          <w:szCs w:val="32"/>
        </w:rPr>
        <w:t>ENGINEERING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369</Words>
  <Characters>2042</Characters>
  <Application>WPS Office</Application>
  <DocSecurity>0</DocSecurity>
  <Paragraphs>97</Paragraphs>
  <ScaleCrop>false</ScaleCrop>
  <LinksUpToDate>false</LinksUpToDate>
  <CharactersWithSpaces>2404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TECNO Camon CX</lastModifiedBy>
  <dcterms:modified xsi:type="dcterms:W3CDTF">2018-04-08T13:11:55Z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