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</w:t>
      </w:r>
      <w:r>
        <w:rPr>
          <w:rFonts w:ascii="Franklin Gothic Book" w:hAnsi="Franklin Gothic Book"/>
        </w:rPr>
        <w:t xml:space="preserve"> OR</w:t>
      </w:r>
      <w:r>
        <w:rPr>
          <w:rFonts w:ascii="Franklin Gothic Book" w:hAnsi="Franklin Gothic Book"/>
        </w:rPr>
        <w:t>LU MANU</w:t>
      </w:r>
      <w:r>
        <w:rPr>
          <w:rFonts w:ascii="Franklin Gothic Book" w:hAnsi="Franklin Gothic Book"/>
        </w:rPr>
        <w:t>CHIM EMMAN</w:t>
      </w:r>
      <w:r>
        <w:rPr>
          <w:rFonts w:ascii="Franklin Gothic Book" w:hAnsi="Franklin Gothic Book"/>
        </w:rPr>
        <w:t>NUELLA.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17/MHS06/06</w:t>
      </w:r>
      <w:r>
        <w:rPr>
          <w:rFonts w:hAnsi="Franklin Gothic Book"/>
          <w:lang w:val="en-US"/>
        </w:rPr>
        <w:t>0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Department: </w:t>
      </w:r>
      <w:r>
        <w:rPr>
          <w:rFonts w:hAnsi="Franklin Gothic Book"/>
          <w:lang w:val="en-US"/>
        </w:rPr>
        <w:t>Medical Laboratory Science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 xml:space="preserve">Sciences.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ASSIGNMENT </w:t>
      </w:r>
      <w:r>
        <w:rPr>
          <w:rFonts w:ascii="Times New Roman" w:cs="Times New Roman" w:hAnsi="Times New Roman"/>
          <w:b/>
        </w:rPr>
        <w:t>ANSWERS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L="0" distR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  <w:lang w:val="en-US"/>
        </w:rPr>
        <w:t xml:space="preserve">Organic </w:t>
      </w:r>
      <w:r>
        <w:rPr>
          <w:rFonts w:ascii="Times New Roman" w:cs="Times New Roman" w:eastAsia="Times New Roman" w:hAnsi="Times New Roman"/>
          <w:sz w:val="21"/>
          <w:szCs w:val="21"/>
          <w:lang w:val="en-US"/>
        </w:rPr>
        <w:t xml:space="preserve">compounds are important because </w:t>
      </w:r>
      <w:r>
        <w:rPr>
          <w:rFonts w:cs="Times New Roman" w:eastAsia="Times New Roman" w:hAnsi="Times New Roman"/>
          <w:sz w:val="21"/>
          <w:szCs w:val="21"/>
          <w:lang w:val="en-US"/>
        </w:rPr>
        <w:t>.</w:t>
      </w:r>
      <w:r>
        <w:rPr>
          <w:rFonts w:cs="Times New Roman" w:eastAsia="Times New Roman" w:hAnsi="Times New Roman"/>
          <w:sz w:val="21"/>
          <w:szCs w:val="21"/>
          <w:lang w:val="en-US"/>
        </w:rPr>
        <w:t>all livings things contains c</w:t>
      </w:r>
      <w:r>
        <w:rPr>
          <w:rFonts w:cs="Times New Roman" w:eastAsia="Times New Roman" w:hAnsi="Times New Roman"/>
          <w:sz w:val="21"/>
          <w:szCs w:val="21"/>
          <w:lang w:val="en-US"/>
        </w:rPr>
        <w:t>arbon.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688</Words>
  <Characters>4069</Characters>
  <Application>WPS Office</Application>
  <DocSecurity>0</DocSecurity>
  <Paragraphs>79</Paragraphs>
  <ScaleCrop>false</ScaleCrop>
  <LinksUpToDate>false</LinksUpToDate>
  <CharactersWithSpaces>4796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2018-04-08T16:33:03Z</dcterms:created>
  <dc:creator>Alegs</dc:creator>
  <lastModifiedBy>Infinix HOT 4</lastModifiedBy>
  <dcterms:modified xsi:type="dcterms:W3CDTF">2018-04-08T16:33:03Z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