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8C" w:rsidRPr="0041328C" w:rsidRDefault="0041328C" w:rsidP="0041328C">
      <w:pPr>
        <w:spacing w:line="480" w:lineRule="auto"/>
        <w:ind w:left="230" w:right="0" w:hanging="14"/>
        <w:jc w:val="left"/>
        <w:rPr>
          <w:szCs w:val="24"/>
        </w:rPr>
      </w:pPr>
      <w:bookmarkStart w:id="0" w:name="_GoBack"/>
      <w:r w:rsidRPr="0041328C">
        <w:rPr>
          <w:szCs w:val="24"/>
        </w:rPr>
        <w:t xml:space="preserve">SOX: Creating the Public Accounting Oversight Board &amp; Increased Corporate Responsibility- The Sarbanes-Oxley Act (“the Act”) was passed in July 2002 in response to the rash of real and perceived failures in corporate governance and financial disclosure. The Sarbanes-Oxley </w:t>
      </w:r>
      <w:r w:rsidRPr="0041328C">
        <w:rPr>
          <w:szCs w:val="24"/>
        </w:rPr>
        <w:t>Act,</w:t>
      </w:r>
      <w:r w:rsidRPr="0041328C">
        <w:rPr>
          <w:szCs w:val="24"/>
        </w:rPr>
        <w:t xml:space="preserve"> also known as Sarbox or SOX, was passed in July 2002 in response to the rash of real and perceived failures in corporate governance and financial disclosure.</w:t>
      </w: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SOX corporate governance guidelines include:</w:t>
      </w: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 An increase in the direct responsibility of senior corporate managers for the quality of their company’s financial reports and disclosures.</w:t>
      </w:r>
    </w:p>
    <w:p w:rsidR="0041328C" w:rsidRPr="0041328C" w:rsidRDefault="0041328C" w:rsidP="0041328C">
      <w:pPr>
        <w:spacing w:line="480" w:lineRule="auto"/>
        <w:ind w:left="230" w:right="0" w:hanging="14"/>
        <w:jc w:val="left"/>
        <w:rPr>
          <w:szCs w:val="24"/>
        </w:rPr>
      </w:pPr>
      <w:r w:rsidRPr="0041328C">
        <w:rPr>
          <w:szCs w:val="24"/>
        </w:rPr>
        <w:t>• An increase in the audit committee’s independence from the company and its responsibility regarding the company’s auditors.</w:t>
      </w:r>
    </w:p>
    <w:p w:rsidR="0041328C" w:rsidRPr="0041328C" w:rsidRDefault="0041328C" w:rsidP="0041328C">
      <w:pPr>
        <w:spacing w:line="480" w:lineRule="auto"/>
        <w:ind w:left="230" w:right="0" w:hanging="14"/>
        <w:jc w:val="left"/>
        <w:rPr>
          <w:szCs w:val="24"/>
        </w:rPr>
      </w:pPr>
      <w:r w:rsidRPr="0041328C">
        <w:rPr>
          <w:szCs w:val="24"/>
        </w:rPr>
        <w:t>• Limitations on the types and nature of services that auditors can provide to a publicly traded, audit client.</w:t>
      </w:r>
    </w:p>
    <w:p w:rsidR="0041328C" w:rsidRPr="0041328C" w:rsidRDefault="0041328C" w:rsidP="0041328C">
      <w:pPr>
        <w:spacing w:line="480" w:lineRule="auto"/>
        <w:ind w:left="230" w:right="0" w:hanging="14"/>
        <w:jc w:val="left"/>
        <w:rPr>
          <w:szCs w:val="24"/>
        </w:rPr>
      </w:pPr>
      <w:r w:rsidRPr="0041328C">
        <w:rPr>
          <w:szCs w:val="24"/>
        </w:rPr>
        <w:t>• The creation of an independent Board to oversee auditing practices regarding publicly traded companies.</w:t>
      </w: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 xml:space="preserve">While there was an initial corporate outcry, particularly about the expense of compliance which is proving valid, corporate attitudes generally have shifted. As corporations investigated and implemented responses to the Sarbox Act, they are recognizing that compliance can result in improved processes, both financial and operational, increased efficiency better and more </w:t>
      </w:r>
      <w:r w:rsidRPr="0041328C">
        <w:rPr>
          <w:szCs w:val="24"/>
        </w:rPr>
        <w:lastRenderedPageBreak/>
        <w:t>timely planning information and that more transparency enhance access to capital and capital at lower cost.</w:t>
      </w:r>
    </w:p>
    <w:p w:rsidR="0041328C" w:rsidRPr="0041328C" w:rsidRDefault="0041328C" w:rsidP="0041328C">
      <w:pPr>
        <w:spacing w:line="480" w:lineRule="auto"/>
        <w:ind w:left="0" w:right="0" w:firstLine="0"/>
        <w:jc w:val="left"/>
        <w:rPr>
          <w:szCs w:val="24"/>
        </w:rPr>
      </w:pP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The SOX Act increases the direct responsibility of senor corporate managers for the quality of their company's financial reports and disclosures.</w:t>
      </w: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Among other things, the Sarbanes-Oxley Act:</w:t>
      </w:r>
    </w:p>
    <w:p w:rsidR="0041328C" w:rsidRPr="0041328C" w:rsidRDefault="0041328C" w:rsidP="0041328C">
      <w:pPr>
        <w:spacing w:line="480" w:lineRule="auto"/>
        <w:ind w:left="230" w:right="0" w:hanging="14"/>
        <w:jc w:val="left"/>
        <w:rPr>
          <w:szCs w:val="24"/>
        </w:rPr>
      </w:pPr>
    </w:p>
    <w:p w:rsidR="0041328C" w:rsidRPr="0041328C" w:rsidRDefault="0041328C" w:rsidP="0041328C">
      <w:pPr>
        <w:spacing w:line="480" w:lineRule="auto"/>
        <w:ind w:left="230" w:right="0" w:hanging="14"/>
        <w:jc w:val="left"/>
        <w:rPr>
          <w:szCs w:val="24"/>
        </w:rPr>
      </w:pPr>
      <w:r w:rsidRPr="0041328C">
        <w:rPr>
          <w:szCs w:val="24"/>
        </w:rPr>
        <w:t xml:space="preserve">1. Requires the Chief Executive Officer and the Chief Financial Officer to certify that the company’s financials fairly present the company’s financial condition. </w:t>
      </w:r>
    </w:p>
    <w:p w:rsidR="0041328C" w:rsidRPr="0041328C" w:rsidRDefault="0041328C" w:rsidP="0041328C">
      <w:pPr>
        <w:spacing w:line="480" w:lineRule="auto"/>
        <w:ind w:left="230" w:right="0" w:hanging="14"/>
        <w:jc w:val="left"/>
        <w:rPr>
          <w:szCs w:val="24"/>
        </w:rPr>
      </w:pPr>
      <w:r w:rsidRPr="0041328C">
        <w:rPr>
          <w:szCs w:val="24"/>
        </w:rPr>
        <w:t>2. Requires forfeiture and return to the company of any bonus, stock or option compensation received in the twelve months following a misleading financial statement that subsequently results in a restatement.</w:t>
      </w:r>
    </w:p>
    <w:p w:rsidR="0041328C" w:rsidRPr="0041328C" w:rsidRDefault="0041328C" w:rsidP="0041328C">
      <w:pPr>
        <w:spacing w:line="480" w:lineRule="auto"/>
        <w:ind w:left="230" w:right="0" w:hanging="14"/>
        <w:jc w:val="left"/>
        <w:rPr>
          <w:szCs w:val="24"/>
        </w:rPr>
      </w:pPr>
      <w:r w:rsidRPr="0041328C">
        <w:rPr>
          <w:szCs w:val="24"/>
        </w:rPr>
        <w:t>3. Requires accelerated reporting by insiders – such transactions must now be reported by the second day following the transaction</w:t>
      </w:r>
    </w:p>
    <w:p w:rsidR="0041328C" w:rsidRPr="0041328C" w:rsidRDefault="0041328C" w:rsidP="0041328C">
      <w:pPr>
        <w:spacing w:line="480" w:lineRule="auto"/>
        <w:ind w:left="230" w:right="0" w:hanging="14"/>
        <w:jc w:val="left"/>
        <w:rPr>
          <w:szCs w:val="24"/>
        </w:rPr>
      </w:pPr>
      <w:r w:rsidRPr="0041328C">
        <w:rPr>
          <w:szCs w:val="24"/>
        </w:rPr>
        <w:t>4. Requires the company to report all off-balance sheet transactions.</w:t>
      </w:r>
    </w:p>
    <w:p w:rsidR="0041328C" w:rsidRPr="0041328C" w:rsidRDefault="0041328C" w:rsidP="0041328C">
      <w:pPr>
        <w:spacing w:line="480" w:lineRule="auto"/>
        <w:ind w:left="230" w:right="0" w:hanging="14"/>
        <w:jc w:val="left"/>
        <w:rPr>
          <w:szCs w:val="24"/>
        </w:rPr>
      </w:pPr>
      <w:r w:rsidRPr="0041328C">
        <w:rPr>
          <w:szCs w:val="24"/>
        </w:rPr>
        <w:t>5. Requires that if the financials contain any pro forma disclosures they must be more straight-forward.</w:t>
      </w:r>
    </w:p>
    <w:p w:rsidR="0041328C" w:rsidRPr="0041328C" w:rsidRDefault="0041328C" w:rsidP="0041328C">
      <w:pPr>
        <w:spacing w:line="480" w:lineRule="auto"/>
        <w:ind w:left="230" w:right="0" w:hanging="14"/>
        <w:jc w:val="left"/>
        <w:rPr>
          <w:szCs w:val="24"/>
        </w:rPr>
      </w:pPr>
      <w:r w:rsidRPr="0041328C">
        <w:rPr>
          <w:szCs w:val="24"/>
        </w:rPr>
        <w:lastRenderedPageBreak/>
        <w:t xml:space="preserve">6. Requires that all annual reports filed with the SEC include a statement by management asserting that it is responsible for creating and maintaining adequate internal controls and assessing the effectiveness of these controls. </w:t>
      </w:r>
    </w:p>
    <w:p w:rsidR="0041328C" w:rsidRPr="0041328C" w:rsidRDefault="0041328C" w:rsidP="0041328C">
      <w:pPr>
        <w:spacing w:line="480" w:lineRule="auto"/>
        <w:ind w:left="230" w:right="0" w:hanging="14"/>
        <w:jc w:val="left"/>
        <w:rPr>
          <w:szCs w:val="24"/>
        </w:rPr>
      </w:pPr>
      <w:r w:rsidRPr="0041328C">
        <w:rPr>
          <w:szCs w:val="24"/>
        </w:rPr>
        <w:t xml:space="preserve">7. Requires a statement as to whether or not the company has adopted an ethics code for senior financial officers and if not, why not. </w:t>
      </w:r>
    </w:p>
    <w:p w:rsidR="0041328C" w:rsidRPr="0041328C" w:rsidRDefault="0041328C" w:rsidP="0041328C">
      <w:pPr>
        <w:spacing w:line="480" w:lineRule="auto"/>
        <w:ind w:left="230" w:right="0" w:hanging="14"/>
        <w:jc w:val="left"/>
        <w:rPr>
          <w:szCs w:val="24"/>
        </w:rPr>
      </w:pPr>
      <w:r w:rsidRPr="0041328C">
        <w:rPr>
          <w:szCs w:val="24"/>
        </w:rPr>
        <w:t>8. Precludes corporate loans to officers and / or directors.</w:t>
      </w:r>
    </w:p>
    <w:p w:rsidR="0041328C" w:rsidRPr="0041328C" w:rsidRDefault="0041328C" w:rsidP="0041328C">
      <w:pPr>
        <w:spacing w:line="480" w:lineRule="auto"/>
        <w:ind w:left="230" w:right="0" w:hanging="14"/>
        <w:jc w:val="left"/>
        <w:rPr>
          <w:szCs w:val="24"/>
        </w:rPr>
      </w:pPr>
      <w:r w:rsidRPr="0041328C">
        <w:rPr>
          <w:szCs w:val="24"/>
        </w:rPr>
        <w:t xml:space="preserve">9. Requires that an attorney who is aware of a material violation of the law must report it to the senior attorney or the company’s Chief Executive Officer. If the person on notice does not move to fix the violation, the attorney must report his findings to the audit committee or the board of directors. </w:t>
      </w:r>
    </w:p>
    <w:p w:rsidR="004B05BA" w:rsidRPr="0041328C" w:rsidRDefault="0041328C" w:rsidP="0041328C">
      <w:pPr>
        <w:spacing w:line="480" w:lineRule="auto"/>
        <w:ind w:left="230" w:right="0" w:hanging="14"/>
        <w:jc w:val="left"/>
        <w:rPr>
          <w:szCs w:val="24"/>
        </w:rPr>
      </w:pPr>
      <w:r w:rsidRPr="0041328C">
        <w:rPr>
          <w:szCs w:val="24"/>
        </w:rPr>
        <w:t>10. Establishes a new federal crime for securities fraud, the Corporate and Criminal Fraud Accountability Act of 2002, which includes a lengthy prison term upon conviction.</w:t>
      </w:r>
      <w:bookmarkEnd w:id="0"/>
    </w:p>
    <w:sectPr w:rsidR="004B05BA" w:rsidRPr="004132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23" w:rsidRDefault="00FF3123" w:rsidP="00C66387">
      <w:pPr>
        <w:spacing w:after="0" w:line="240" w:lineRule="auto"/>
      </w:pPr>
      <w:r>
        <w:separator/>
      </w:r>
    </w:p>
  </w:endnote>
  <w:endnote w:type="continuationSeparator" w:id="0">
    <w:p w:rsidR="00FF3123" w:rsidRDefault="00FF3123" w:rsidP="00C6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23" w:rsidRDefault="00FF3123" w:rsidP="00C66387">
      <w:pPr>
        <w:spacing w:after="0" w:line="240" w:lineRule="auto"/>
      </w:pPr>
      <w:r>
        <w:separator/>
      </w:r>
    </w:p>
  </w:footnote>
  <w:footnote w:type="continuationSeparator" w:id="0">
    <w:p w:rsidR="00FF3123" w:rsidRDefault="00FF3123" w:rsidP="00C6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676185"/>
      <w:docPartObj>
        <w:docPartGallery w:val="Page Numbers (Top of Page)"/>
        <w:docPartUnique/>
      </w:docPartObj>
    </w:sdtPr>
    <w:sdtEndPr>
      <w:rPr>
        <w:noProof/>
      </w:rPr>
    </w:sdtEndPr>
    <w:sdtContent>
      <w:p w:rsidR="00C66387" w:rsidRDefault="00C66387">
        <w:pPr>
          <w:pStyle w:val="Header"/>
          <w:jc w:val="right"/>
        </w:pPr>
        <w:r>
          <w:fldChar w:fldCharType="begin"/>
        </w:r>
        <w:r>
          <w:instrText xml:space="preserve"> PAGE   \* MERGEFORMAT </w:instrText>
        </w:r>
        <w:r>
          <w:fldChar w:fldCharType="separate"/>
        </w:r>
        <w:r w:rsidR="00A324A9">
          <w:rPr>
            <w:noProof/>
          </w:rPr>
          <w:t>3</w:t>
        </w:r>
        <w:r>
          <w:rPr>
            <w:noProof/>
          </w:rPr>
          <w:fldChar w:fldCharType="end"/>
        </w:r>
      </w:p>
    </w:sdtContent>
  </w:sdt>
  <w:p w:rsidR="00C66387" w:rsidRDefault="00C66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70F"/>
    <w:multiLevelType w:val="hybridMultilevel"/>
    <w:tmpl w:val="355C919E"/>
    <w:lvl w:ilvl="0" w:tplc="0292DCD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1AE118">
      <w:start w:val="1"/>
      <w:numFmt w:val="lowerLetter"/>
      <w:lvlText w:val="%2"/>
      <w:lvlJc w:val="left"/>
      <w:pPr>
        <w:ind w:left="8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B0F592">
      <w:start w:val="1"/>
      <w:numFmt w:val="decimal"/>
      <w:lvlRestart w:val="0"/>
      <w:lvlText w:val="%3."/>
      <w:lvlJc w:val="left"/>
      <w:pPr>
        <w:ind w:left="1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AAED20">
      <w:start w:val="1"/>
      <w:numFmt w:val="decimal"/>
      <w:lvlText w:val="%4"/>
      <w:lvlJc w:val="left"/>
      <w:pPr>
        <w:ind w:left="2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3E2ECA">
      <w:start w:val="1"/>
      <w:numFmt w:val="lowerLetter"/>
      <w:lvlText w:val="%5"/>
      <w:lvlJc w:val="left"/>
      <w:pPr>
        <w:ind w:left="2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4252B6">
      <w:start w:val="1"/>
      <w:numFmt w:val="lowerRoman"/>
      <w:lvlText w:val="%6"/>
      <w:lvlJc w:val="left"/>
      <w:pPr>
        <w:ind w:left="3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6A50B8">
      <w:start w:val="1"/>
      <w:numFmt w:val="decimal"/>
      <w:lvlText w:val="%7"/>
      <w:lvlJc w:val="left"/>
      <w:pPr>
        <w:ind w:left="4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C2B0BC">
      <w:start w:val="1"/>
      <w:numFmt w:val="lowerLetter"/>
      <w:lvlText w:val="%8"/>
      <w:lvlJc w:val="left"/>
      <w:pPr>
        <w:ind w:left="4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527E52">
      <w:start w:val="1"/>
      <w:numFmt w:val="lowerRoman"/>
      <w:lvlText w:val="%9"/>
      <w:lvlJc w:val="left"/>
      <w:pPr>
        <w:ind w:left="5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87516CC"/>
    <w:multiLevelType w:val="multilevel"/>
    <w:tmpl w:val="9A3EB93A"/>
    <w:lvl w:ilvl="0">
      <w:start w:val="1"/>
      <w:numFmt w:val="decimal"/>
      <w:lvlText w:val="%1"/>
      <w:lvlJc w:val="left"/>
      <w:pPr>
        <w:ind w:left="360" w:hanging="360"/>
      </w:pPr>
      <w:rPr>
        <w:rFonts w:hint="default"/>
      </w:rPr>
    </w:lvl>
    <w:lvl w:ilvl="1">
      <w:start w:val="1"/>
      <w:numFmt w:val="decimal"/>
      <w:lvlText w:val="%1.%2"/>
      <w:lvlJc w:val="left"/>
      <w:pPr>
        <w:ind w:left="571" w:hanging="36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
    <w:nsid w:val="0A3A7FBA"/>
    <w:multiLevelType w:val="hybridMultilevel"/>
    <w:tmpl w:val="41AE060A"/>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
    <w:nsid w:val="0BF13BBA"/>
    <w:multiLevelType w:val="hybridMultilevel"/>
    <w:tmpl w:val="05E09E0E"/>
    <w:lvl w:ilvl="0" w:tplc="103AC6D6">
      <w:start w:val="1"/>
      <w:numFmt w:val="decimal"/>
      <w:lvlText w:val="%1."/>
      <w:lvlJc w:val="left"/>
      <w:pPr>
        <w:ind w:left="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DE7854">
      <w:start w:val="11"/>
      <w:numFmt w:val="decimal"/>
      <w:lvlText w:val="%2."/>
      <w:lvlJc w:val="left"/>
      <w:pPr>
        <w:ind w:left="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20561C">
      <w:start w:val="1"/>
      <w:numFmt w:val="lowerRoman"/>
      <w:lvlText w:val="%3"/>
      <w:lvlJc w:val="left"/>
      <w:pPr>
        <w:ind w:left="1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3CFD8E">
      <w:start w:val="1"/>
      <w:numFmt w:val="decimal"/>
      <w:lvlText w:val="%4"/>
      <w:lvlJc w:val="left"/>
      <w:pPr>
        <w:ind w:left="2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6C3318">
      <w:start w:val="1"/>
      <w:numFmt w:val="lowerLetter"/>
      <w:lvlText w:val="%5"/>
      <w:lvlJc w:val="left"/>
      <w:pPr>
        <w:ind w:left="31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DA7CAC">
      <w:start w:val="1"/>
      <w:numFmt w:val="lowerRoman"/>
      <w:lvlText w:val="%6"/>
      <w:lvlJc w:val="left"/>
      <w:pPr>
        <w:ind w:left="38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62F3A0">
      <w:start w:val="1"/>
      <w:numFmt w:val="decimal"/>
      <w:lvlText w:val="%7"/>
      <w:lvlJc w:val="left"/>
      <w:pPr>
        <w:ind w:left="45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A9D46">
      <w:start w:val="1"/>
      <w:numFmt w:val="lowerLetter"/>
      <w:lvlText w:val="%8"/>
      <w:lvlJc w:val="left"/>
      <w:pPr>
        <w:ind w:left="52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22B454">
      <w:start w:val="1"/>
      <w:numFmt w:val="lowerRoman"/>
      <w:lvlText w:val="%9"/>
      <w:lvlJc w:val="left"/>
      <w:pPr>
        <w:ind w:left="5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CD90D54"/>
    <w:multiLevelType w:val="hybridMultilevel"/>
    <w:tmpl w:val="F232EDF6"/>
    <w:lvl w:ilvl="0" w:tplc="A88C8AF6">
      <w:start w:val="1"/>
      <w:numFmt w:val="bullet"/>
      <w:lvlText w:val="•"/>
      <w:lvlJc w:val="left"/>
      <w:pPr>
        <w:ind w:left="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5E2128">
      <w:start w:val="1"/>
      <w:numFmt w:val="bullet"/>
      <w:lvlText w:val="o"/>
      <w:lvlJc w:val="left"/>
      <w:pPr>
        <w:ind w:left="166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47AB308">
      <w:start w:val="1"/>
      <w:numFmt w:val="bullet"/>
      <w:lvlText w:val="▪"/>
      <w:lvlJc w:val="left"/>
      <w:pPr>
        <w:ind w:left="238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93684DC">
      <w:start w:val="1"/>
      <w:numFmt w:val="bullet"/>
      <w:lvlText w:val="•"/>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ECAA76">
      <w:start w:val="1"/>
      <w:numFmt w:val="bullet"/>
      <w:lvlText w:val="o"/>
      <w:lvlJc w:val="left"/>
      <w:pPr>
        <w:ind w:left="382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0E8DF86">
      <w:start w:val="1"/>
      <w:numFmt w:val="bullet"/>
      <w:lvlText w:val="▪"/>
      <w:lvlJc w:val="left"/>
      <w:pPr>
        <w:ind w:left="454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BA6179E">
      <w:start w:val="1"/>
      <w:numFmt w:val="bullet"/>
      <w:lvlText w:val="•"/>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5CD230">
      <w:start w:val="1"/>
      <w:numFmt w:val="bullet"/>
      <w:lvlText w:val="o"/>
      <w:lvlJc w:val="left"/>
      <w:pPr>
        <w:ind w:left="598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306E9C8">
      <w:start w:val="1"/>
      <w:numFmt w:val="bullet"/>
      <w:lvlText w:val="▪"/>
      <w:lvlJc w:val="left"/>
      <w:pPr>
        <w:ind w:left="670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0D25076D"/>
    <w:multiLevelType w:val="multilevel"/>
    <w:tmpl w:val="333047F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1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0EB45F4"/>
    <w:multiLevelType w:val="multilevel"/>
    <w:tmpl w:val="AA1A4624"/>
    <w:lvl w:ilvl="0">
      <w:start w:val="1"/>
      <w:numFmt w:val="decimal"/>
      <w:lvlText w:val="%1"/>
      <w:lvlJc w:val="left"/>
      <w:pPr>
        <w:ind w:left="360" w:hanging="360"/>
      </w:pPr>
      <w:rPr>
        <w:rFonts w:hint="default"/>
      </w:rPr>
    </w:lvl>
    <w:lvl w:ilvl="1">
      <w:start w:val="1"/>
      <w:numFmt w:val="decimal"/>
      <w:lvlText w:val="%1.%2"/>
      <w:lvlJc w:val="left"/>
      <w:pPr>
        <w:ind w:left="571" w:hanging="36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7">
    <w:nsid w:val="123F3EB2"/>
    <w:multiLevelType w:val="multilevel"/>
    <w:tmpl w:val="EA205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CE2191"/>
    <w:multiLevelType w:val="hybridMultilevel"/>
    <w:tmpl w:val="E5B2676E"/>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9">
    <w:nsid w:val="188B4FB1"/>
    <w:multiLevelType w:val="hybridMultilevel"/>
    <w:tmpl w:val="DF821A0E"/>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0">
    <w:nsid w:val="30474FEE"/>
    <w:multiLevelType w:val="hybridMultilevel"/>
    <w:tmpl w:val="6BEA894C"/>
    <w:lvl w:ilvl="0" w:tplc="BCB2AC58">
      <w:start w:val="1"/>
      <w:numFmt w:val="bullet"/>
      <w:lvlText w:val="•"/>
      <w:lvlJc w:val="left"/>
      <w:pPr>
        <w:ind w:left="12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12B888">
      <w:start w:val="1"/>
      <w:numFmt w:val="bullet"/>
      <w:lvlText w:val="o"/>
      <w:lvlJc w:val="left"/>
      <w:pPr>
        <w:ind w:left="20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4BADB4C">
      <w:start w:val="1"/>
      <w:numFmt w:val="bullet"/>
      <w:lvlText w:val="▪"/>
      <w:lvlJc w:val="left"/>
      <w:pPr>
        <w:ind w:left="27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CF436E0">
      <w:start w:val="1"/>
      <w:numFmt w:val="bullet"/>
      <w:lvlText w:val="•"/>
      <w:lvlJc w:val="left"/>
      <w:pPr>
        <w:ind w:left="34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689324">
      <w:start w:val="1"/>
      <w:numFmt w:val="bullet"/>
      <w:lvlText w:val="o"/>
      <w:lvlJc w:val="left"/>
      <w:pPr>
        <w:ind w:left="41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1103776">
      <w:start w:val="1"/>
      <w:numFmt w:val="bullet"/>
      <w:lvlText w:val="▪"/>
      <w:lvlJc w:val="left"/>
      <w:pPr>
        <w:ind w:left="48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4D8E754">
      <w:start w:val="1"/>
      <w:numFmt w:val="bullet"/>
      <w:lvlText w:val="•"/>
      <w:lvlJc w:val="left"/>
      <w:pPr>
        <w:ind w:left="56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C81EE6">
      <w:start w:val="1"/>
      <w:numFmt w:val="bullet"/>
      <w:lvlText w:val="o"/>
      <w:lvlJc w:val="left"/>
      <w:pPr>
        <w:ind w:left="63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DC2070E">
      <w:start w:val="1"/>
      <w:numFmt w:val="bullet"/>
      <w:lvlText w:val="▪"/>
      <w:lvlJc w:val="left"/>
      <w:pPr>
        <w:ind w:left="70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337012B1"/>
    <w:multiLevelType w:val="hybridMultilevel"/>
    <w:tmpl w:val="626C685C"/>
    <w:lvl w:ilvl="0" w:tplc="3190DE2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DA061A">
      <w:start w:val="1"/>
      <w:numFmt w:val="bullet"/>
      <w:lvlText w:val="•"/>
      <w:lvlJc w:val="left"/>
      <w:pPr>
        <w:ind w:left="1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002BB2">
      <w:start w:val="1"/>
      <w:numFmt w:val="bullet"/>
      <w:lvlText w:val="▪"/>
      <w:lvlJc w:val="left"/>
      <w:pPr>
        <w:ind w:left="20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4101F80">
      <w:start w:val="1"/>
      <w:numFmt w:val="bullet"/>
      <w:lvlText w:val="•"/>
      <w:lvlJc w:val="left"/>
      <w:pPr>
        <w:ind w:left="2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F8E8C2">
      <w:start w:val="1"/>
      <w:numFmt w:val="bullet"/>
      <w:lvlText w:val="o"/>
      <w:lvlJc w:val="left"/>
      <w:pPr>
        <w:ind w:left="34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48C950E">
      <w:start w:val="1"/>
      <w:numFmt w:val="bullet"/>
      <w:lvlText w:val="▪"/>
      <w:lvlJc w:val="left"/>
      <w:pPr>
        <w:ind w:left="41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9EA8358">
      <w:start w:val="1"/>
      <w:numFmt w:val="bullet"/>
      <w:lvlText w:val="•"/>
      <w:lvlJc w:val="left"/>
      <w:pPr>
        <w:ind w:left="4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080CCC">
      <w:start w:val="1"/>
      <w:numFmt w:val="bullet"/>
      <w:lvlText w:val="o"/>
      <w:lvlJc w:val="left"/>
      <w:pPr>
        <w:ind w:left="56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E125AA4">
      <w:start w:val="1"/>
      <w:numFmt w:val="bullet"/>
      <w:lvlText w:val="▪"/>
      <w:lvlJc w:val="left"/>
      <w:pPr>
        <w:ind w:left="63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430E2928"/>
    <w:multiLevelType w:val="multilevel"/>
    <w:tmpl w:val="4EA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F4CA1"/>
    <w:multiLevelType w:val="hybridMultilevel"/>
    <w:tmpl w:val="03A0789E"/>
    <w:lvl w:ilvl="0" w:tplc="CA8CDD28">
      <w:start w:val="1"/>
      <w:numFmt w:val="bullet"/>
      <w:lvlText w:val="•"/>
      <w:lvlJc w:val="left"/>
      <w:pPr>
        <w:ind w:left="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069CA0">
      <w:start w:val="1"/>
      <w:numFmt w:val="bullet"/>
      <w:lvlText w:val="o"/>
      <w:lvlJc w:val="left"/>
      <w:pPr>
        <w:ind w:left="166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7425014">
      <w:start w:val="1"/>
      <w:numFmt w:val="bullet"/>
      <w:lvlText w:val="▪"/>
      <w:lvlJc w:val="left"/>
      <w:pPr>
        <w:ind w:left="238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AD03E18">
      <w:start w:val="1"/>
      <w:numFmt w:val="bullet"/>
      <w:lvlText w:val="•"/>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BCD89C">
      <w:start w:val="1"/>
      <w:numFmt w:val="bullet"/>
      <w:lvlText w:val="o"/>
      <w:lvlJc w:val="left"/>
      <w:pPr>
        <w:ind w:left="382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7E21382">
      <w:start w:val="1"/>
      <w:numFmt w:val="bullet"/>
      <w:lvlText w:val="▪"/>
      <w:lvlJc w:val="left"/>
      <w:pPr>
        <w:ind w:left="454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AEE0D3C">
      <w:start w:val="1"/>
      <w:numFmt w:val="bullet"/>
      <w:lvlText w:val="•"/>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BE877C">
      <w:start w:val="1"/>
      <w:numFmt w:val="bullet"/>
      <w:lvlText w:val="o"/>
      <w:lvlJc w:val="left"/>
      <w:pPr>
        <w:ind w:left="598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FFA3928">
      <w:start w:val="1"/>
      <w:numFmt w:val="bullet"/>
      <w:lvlText w:val="▪"/>
      <w:lvlJc w:val="left"/>
      <w:pPr>
        <w:ind w:left="670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4CDE3530"/>
    <w:multiLevelType w:val="hybridMultilevel"/>
    <w:tmpl w:val="6E78921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nsid w:val="543375DE"/>
    <w:multiLevelType w:val="hybridMultilevel"/>
    <w:tmpl w:val="0CB01E92"/>
    <w:lvl w:ilvl="0" w:tplc="04090001">
      <w:start w:val="1"/>
      <w:numFmt w:val="bullet"/>
      <w:lvlText w:val=""/>
      <w:lvlJc w:val="left"/>
      <w:pPr>
        <w:ind w:left="1651" w:hanging="360"/>
      </w:pPr>
      <w:rPr>
        <w:rFonts w:ascii="Symbol" w:hAnsi="Symbol" w:hint="default"/>
      </w:rPr>
    </w:lvl>
    <w:lvl w:ilvl="1" w:tplc="04090003" w:tentative="1">
      <w:start w:val="1"/>
      <w:numFmt w:val="bullet"/>
      <w:lvlText w:val="o"/>
      <w:lvlJc w:val="left"/>
      <w:pPr>
        <w:ind w:left="2371" w:hanging="360"/>
      </w:pPr>
      <w:rPr>
        <w:rFonts w:ascii="Courier New" w:hAnsi="Courier New" w:cs="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cs="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cs="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16">
    <w:nsid w:val="57FE6FB3"/>
    <w:multiLevelType w:val="hybridMultilevel"/>
    <w:tmpl w:val="F25C4738"/>
    <w:lvl w:ilvl="0" w:tplc="9FCCD336">
      <w:start w:val="1"/>
      <w:numFmt w:val="decimal"/>
      <w:lvlText w:val="%1."/>
      <w:lvlJc w:val="left"/>
      <w:pPr>
        <w:ind w:left="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688C9A">
      <w:start w:val="1"/>
      <w:numFmt w:val="lowerLetter"/>
      <w:lvlText w:val="%2"/>
      <w:lvlJc w:val="left"/>
      <w:pPr>
        <w:ind w:left="1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4A934">
      <w:start w:val="1"/>
      <w:numFmt w:val="lowerRoman"/>
      <w:lvlText w:val="%3"/>
      <w:lvlJc w:val="left"/>
      <w:pPr>
        <w:ind w:left="2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2E1ECE">
      <w:start w:val="1"/>
      <w:numFmt w:val="decimal"/>
      <w:lvlText w:val="%4"/>
      <w:lvlJc w:val="left"/>
      <w:pPr>
        <w:ind w:left="3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5E38FE">
      <w:start w:val="1"/>
      <w:numFmt w:val="lowerLetter"/>
      <w:lvlText w:val="%5"/>
      <w:lvlJc w:val="left"/>
      <w:pPr>
        <w:ind w:left="3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C69E08">
      <w:start w:val="1"/>
      <w:numFmt w:val="lowerRoman"/>
      <w:lvlText w:val="%6"/>
      <w:lvlJc w:val="left"/>
      <w:pPr>
        <w:ind w:left="4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362226">
      <w:start w:val="1"/>
      <w:numFmt w:val="decimal"/>
      <w:lvlText w:val="%7"/>
      <w:lvlJc w:val="left"/>
      <w:pPr>
        <w:ind w:left="52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A6D274">
      <w:start w:val="1"/>
      <w:numFmt w:val="lowerLetter"/>
      <w:lvlText w:val="%8"/>
      <w:lvlJc w:val="left"/>
      <w:pPr>
        <w:ind w:left="59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84BF36">
      <w:start w:val="1"/>
      <w:numFmt w:val="lowerRoman"/>
      <w:lvlText w:val="%9"/>
      <w:lvlJc w:val="left"/>
      <w:pPr>
        <w:ind w:left="6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6B306B91"/>
    <w:multiLevelType w:val="multilevel"/>
    <w:tmpl w:val="AEAC722A"/>
    <w:lvl w:ilvl="0">
      <w:start w:val="2"/>
      <w:numFmt w:val="decimal"/>
      <w:lvlText w:val="%1."/>
      <w:lvlJc w:val="left"/>
      <w:pPr>
        <w:ind w:left="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733349AD"/>
    <w:multiLevelType w:val="hybridMultilevel"/>
    <w:tmpl w:val="5D946004"/>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num w:numId="1">
    <w:abstractNumId w:val="6"/>
  </w:num>
  <w:num w:numId="2">
    <w:abstractNumId w:val="1"/>
  </w:num>
  <w:num w:numId="3">
    <w:abstractNumId w:val="9"/>
  </w:num>
  <w:num w:numId="4">
    <w:abstractNumId w:val="14"/>
  </w:num>
  <w:num w:numId="5">
    <w:abstractNumId w:val="15"/>
  </w:num>
  <w:num w:numId="6">
    <w:abstractNumId w:val="2"/>
  </w:num>
  <w:num w:numId="7">
    <w:abstractNumId w:val="10"/>
  </w:num>
  <w:num w:numId="8">
    <w:abstractNumId w:val="0"/>
  </w:num>
  <w:num w:numId="9">
    <w:abstractNumId w:val="17"/>
  </w:num>
  <w:num w:numId="10">
    <w:abstractNumId w:val="7"/>
  </w:num>
  <w:num w:numId="11">
    <w:abstractNumId w:val="13"/>
  </w:num>
  <w:num w:numId="12">
    <w:abstractNumId w:val="3"/>
  </w:num>
  <w:num w:numId="13">
    <w:abstractNumId w:val="11"/>
  </w:num>
  <w:num w:numId="14">
    <w:abstractNumId w:val="16"/>
  </w:num>
  <w:num w:numId="15">
    <w:abstractNumId w:val="4"/>
  </w:num>
  <w:num w:numId="16">
    <w:abstractNumId w:val="5"/>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92"/>
    <w:rsid w:val="001244BB"/>
    <w:rsid w:val="001D3DA4"/>
    <w:rsid w:val="001E1920"/>
    <w:rsid w:val="00250118"/>
    <w:rsid w:val="002B03EA"/>
    <w:rsid w:val="002E5D27"/>
    <w:rsid w:val="003375CE"/>
    <w:rsid w:val="0035361A"/>
    <w:rsid w:val="00395DC3"/>
    <w:rsid w:val="0041328C"/>
    <w:rsid w:val="00464D20"/>
    <w:rsid w:val="004B05BA"/>
    <w:rsid w:val="00587CB0"/>
    <w:rsid w:val="005E34D1"/>
    <w:rsid w:val="005F1518"/>
    <w:rsid w:val="0060269F"/>
    <w:rsid w:val="00683CD6"/>
    <w:rsid w:val="00691AB1"/>
    <w:rsid w:val="00735481"/>
    <w:rsid w:val="008F17F2"/>
    <w:rsid w:val="009A0D7D"/>
    <w:rsid w:val="009B1E01"/>
    <w:rsid w:val="00A324A9"/>
    <w:rsid w:val="00A712A7"/>
    <w:rsid w:val="00AA496D"/>
    <w:rsid w:val="00B42536"/>
    <w:rsid w:val="00B65AF6"/>
    <w:rsid w:val="00C325C3"/>
    <w:rsid w:val="00C612D7"/>
    <w:rsid w:val="00C66387"/>
    <w:rsid w:val="00CC4CE4"/>
    <w:rsid w:val="00DE0B92"/>
    <w:rsid w:val="00E044E9"/>
    <w:rsid w:val="00E36035"/>
    <w:rsid w:val="00E478A9"/>
    <w:rsid w:val="00E60FE6"/>
    <w:rsid w:val="00E71368"/>
    <w:rsid w:val="00F264B9"/>
    <w:rsid w:val="00FA20B9"/>
    <w:rsid w:val="00FC2E5D"/>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9E34-A134-43B2-B437-76C0878A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87"/>
    <w:pPr>
      <w:spacing w:after="121" w:line="243" w:lineRule="auto"/>
      <w:ind w:left="221"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87"/>
  </w:style>
  <w:style w:type="paragraph" w:styleId="Footer">
    <w:name w:val="footer"/>
    <w:basedOn w:val="Normal"/>
    <w:link w:val="FooterChar"/>
    <w:uiPriority w:val="99"/>
    <w:unhideWhenUsed/>
    <w:rsid w:val="00C6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87"/>
  </w:style>
  <w:style w:type="paragraph" w:styleId="ListParagraph">
    <w:name w:val="List Paragraph"/>
    <w:basedOn w:val="Normal"/>
    <w:uiPriority w:val="34"/>
    <w:qFormat/>
    <w:rsid w:val="00AA4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4647">
      <w:bodyDiv w:val="1"/>
      <w:marLeft w:val="0"/>
      <w:marRight w:val="0"/>
      <w:marTop w:val="0"/>
      <w:marBottom w:val="0"/>
      <w:divBdr>
        <w:top w:val="none" w:sz="0" w:space="0" w:color="auto"/>
        <w:left w:val="none" w:sz="0" w:space="0" w:color="auto"/>
        <w:bottom w:val="none" w:sz="0" w:space="0" w:color="auto"/>
        <w:right w:val="none" w:sz="0" w:space="0" w:color="auto"/>
      </w:divBdr>
      <w:divsChild>
        <w:div w:id="127555701">
          <w:marLeft w:val="0"/>
          <w:marRight w:val="0"/>
          <w:marTop w:val="0"/>
          <w:marBottom w:val="0"/>
          <w:divBdr>
            <w:top w:val="none" w:sz="0" w:space="0" w:color="auto"/>
            <w:left w:val="none" w:sz="0" w:space="0" w:color="auto"/>
            <w:bottom w:val="none" w:sz="0" w:space="0" w:color="auto"/>
            <w:right w:val="none" w:sz="0" w:space="0" w:color="auto"/>
          </w:divBdr>
        </w:div>
        <w:div w:id="418796650">
          <w:marLeft w:val="0"/>
          <w:marRight w:val="0"/>
          <w:marTop w:val="0"/>
          <w:marBottom w:val="0"/>
          <w:divBdr>
            <w:top w:val="none" w:sz="0" w:space="0" w:color="auto"/>
            <w:left w:val="none" w:sz="0" w:space="0" w:color="auto"/>
            <w:bottom w:val="none" w:sz="0" w:space="0" w:color="auto"/>
            <w:right w:val="none" w:sz="0" w:space="0" w:color="auto"/>
          </w:divBdr>
        </w:div>
        <w:div w:id="624820574">
          <w:marLeft w:val="0"/>
          <w:marRight w:val="0"/>
          <w:marTop w:val="0"/>
          <w:marBottom w:val="0"/>
          <w:divBdr>
            <w:top w:val="none" w:sz="0" w:space="0" w:color="auto"/>
            <w:left w:val="none" w:sz="0" w:space="0" w:color="auto"/>
            <w:bottom w:val="none" w:sz="0" w:space="0" w:color="auto"/>
            <w:right w:val="none" w:sz="0" w:space="0" w:color="auto"/>
          </w:divBdr>
        </w:div>
        <w:div w:id="1114402483">
          <w:marLeft w:val="0"/>
          <w:marRight w:val="0"/>
          <w:marTop w:val="0"/>
          <w:marBottom w:val="0"/>
          <w:divBdr>
            <w:top w:val="none" w:sz="0" w:space="0" w:color="auto"/>
            <w:left w:val="none" w:sz="0" w:space="0" w:color="auto"/>
            <w:bottom w:val="none" w:sz="0" w:space="0" w:color="auto"/>
            <w:right w:val="none" w:sz="0" w:space="0" w:color="auto"/>
          </w:divBdr>
        </w:div>
        <w:div w:id="1647587129">
          <w:marLeft w:val="720"/>
          <w:marRight w:val="0"/>
          <w:marTop w:val="0"/>
          <w:marBottom w:val="0"/>
          <w:divBdr>
            <w:top w:val="none" w:sz="0" w:space="0" w:color="auto"/>
            <w:left w:val="none" w:sz="0" w:space="0" w:color="auto"/>
            <w:bottom w:val="none" w:sz="0" w:space="0" w:color="auto"/>
            <w:right w:val="none" w:sz="0" w:space="0" w:color="auto"/>
          </w:divBdr>
        </w:div>
        <w:div w:id="1738287301">
          <w:marLeft w:val="0"/>
          <w:marRight w:val="0"/>
          <w:marTop w:val="0"/>
          <w:marBottom w:val="0"/>
          <w:divBdr>
            <w:top w:val="none" w:sz="0" w:space="0" w:color="auto"/>
            <w:left w:val="none" w:sz="0" w:space="0" w:color="auto"/>
            <w:bottom w:val="none" w:sz="0" w:space="0" w:color="auto"/>
            <w:right w:val="none" w:sz="0" w:space="0" w:color="auto"/>
          </w:divBdr>
        </w:div>
        <w:div w:id="1802796701">
          <w:marLeft w:val="720"/>
          <w:marRight w:val="0"/>
          <w:marTop w:val="0"/>
          <w:marBottom w:val="0"/>
          <w:divBdr>
            <w:top w:val="none" w:sz="0" w:space="0" w:color="auto"/>
            <w:left w:val="none" w:sz="0" w:space="0" w:color="auto"/>
            <w:bottom w:val="none" w:sz="0" w:space="0" w:color="auto"/>
            <w:right w:val="none" w:sz="0" w:space="0" w:color="auto"/>
          </w:divBdr>
        </w:div>
        <w:div w:id="2014912722">
          <w:marLeft w:val="0"/>
          <w:marRight w:val="0"/>
          <w:marTop w:val="0"/>
          <w:marBottom w:val="0"/>
          <w:divBdr>
            <w:top w:val="none" w:sz="0" w:space="0" w:color="auto"/>
            <w:left w:val="none" w:sz="0" w:space="0" w:color="auto"/>
            <w:bottom w:val="none" w:sz="0" w:space="0" w:color="auto"/>
            <w:right w:val="none" w:sz="0" w:space="0" w:color="auto"/>
          </w:divBdr>
        </w:div>
      </w:divsChild>
    </w:div>
    <w:div w:id="1327242007">
      <w:bodyDiv w:val="1"/>
      <w:marLeft w:val="0"/>
      <w:marRight w:val="0"/>
      <w:marTop w:val="0"/>
      <w:marBottom w:val="0"/>
      <w:divBdr>
        <w:top w:val="none" w:sz="0" w:space="0" w:color="auto"/>
        <w:left w:val="none" w:sz="0" w:space="0" w:color="auto"/>
        <w:bottom w:val="none" w:sz="0" w:space="0" w:color="auto"/>
        <w:right w:val="none" w:sz="0" w:space="0" w:color="auto"/>
      </w:divBdr>
    </w:div>
    <w:div w:id="18245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NRIAKA-MOLOKWU CHIDE</dc:creator>
  <cp:keywords/>
  <dc:description/>
  <cp:lastModifiedBy>NRIAKA-MOLOKWU CHIDE</cp:lastModifiedBy>
  <cp:revision>2</cp:revision>
  <dcterms:created xsi:type="dcterms:W3CDTF">2018-10-14T10:59:00Z</dcterms:created>
  <dcterms:modified xsi:type="dcterms:W3CDTF">2018-10-14T10:59:00Z</dcterms:modified>
</cp:coreProperties>
</file>