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34" w:rsidRDefault="00B848DB" w:rsidP="002D526C">
      <w:pPr>
        <w:spacing w:line="480" w:lineRule="auto"/>
        <w:rPr>
          <w:rFonts w:cs="Times New Roman"/>
        </w:rPr>
      </w:pPr>
      <w:r w:rsidRPr="00B848DB">
        <w:rPr>
          <w:rFonts w:cs="Times New Roman"/>
        </w:rPr>
        <w:t xml:space="preserve">Name: </w:t>
      </w:r>
      <w:proofErr w:type="spellStart"/>
      <w:r w:rsidRPr="00B848DB">
        <w:rPr>
          <w:rFonts w:cs="Times New Roman"/>
        </w:rPr>
        <w:t>Ireruke</w:t>
      </w:r>
      <w:proofErr w:type="spellEnd"/>
      <w:r w:rsidRPr="00B848DB">
        <w:rPr>
          <w:rFonts w:cs="Times New Roman"/>
        </w:rPr>
        <w:t xml:space="preserve"> Emmanuel </w:t>
      </w:r>
      <w:proofErr w:type="spellStart"/>
      <w:r w:rsidRPr="00B848DB">
        <w:rPr>
          <w:rFonts w:cs="Times New Roman"/>
        </w:rPr>
        <w:t>Oghenetejiri</w:t>
      </w:r>
      <w:proofErr w:type="spellEnd"/>
      <w:r w:rsidRPr="00B848DB">
        <w:rPr>
          <w:rFonts w:cs="Times New Roman"/>
        </w:rPr>
        <w:t xml:space="preserve"> </w:t>
      </w:r>
    </w:p>
    <w:p w:rsidR="00B848DB" w:rsidRPr="00B848DB" w:rsidRDefault="00B848DB" w:rsidP="002D526C">
      <w:pPr>
        <w:spacing w:line="480" w:lineRule="auto"/>
        <w:rPr>
          <w:rFonts w:cs="Times New Roman"/>
        </w:rPr>
      </w:pPr>
      <w:r>
        <w:rPr>
          <w:rFonts w:cs="Times New Roman"/>
        </w:rPr>
        <w:t>Matric Number: 17/SMS02/028</w:t>
      </w:r>
      <w:bookmarkStart w:id="0" w:name="_GoBack"/>
      <w:bookmarkEnd w:id="0"/>
    </w:p>
    <w:p w:rsidR="00E96534" w:rsidRPr="00B848DB" w:rsidRDefault="00E96534" w:rsidP="002D526C">
      <w:pPr>
        <w:spacing w:line="480" w:lineRule="auto"/>
        <w:rPr>
          <w:rFonts w:cs="Times New Roman"/>
        </w:rPr>
      </w:pPr>
      <w:r w:rsidRPr="00B848DB">
        <w:rPr>
          <w:rFonts w:cs="Times New Roman"/>
        </w:rPr>
        <w:t>Department: Accounting</w:t>
      </w:r>
    </w:p>
    <w:p w:rsidR="00BD5347" w:rsidRPr="00F5138D" w:rsidRDefault="00BD5347" w:rsidP="002D526C">
      <w:pPr>
        <w:pStyle w:val="Heading1"/>
        <w:spacing w:line="480" w:lineRule="auto"/>
        <w:jc w:val="center"/>
        <w:rPr>
          <w:rFonts w:ascii="Times New Roman" w:hAnsi="Times New Roman" w:cs="Times New Roman"/>
          <w:sz w:val="24"/>
          <w:szCs w:val="24"/>
          <w:u w:val="single"/>
        </w:rPr>
      </w:pPr>
      <w:r w:rsidRPr="00F5138D">
        <w:rPr>
          <w:rFonts w:ascii="Times New Roman" w:hAnsi="Times New Roman" w:cs="Times New Roman"/>
          <w:sz w:val="24"/>
          <w:szCs w:val="24"/>
          <w:u w:val="single"/>
        </w:rPr>
        <w:t>Main Governance Aspect of the Sarbanes Oxley Act</w:t>
      </w:r>
    </w:p>
    <w:p w:rsidR="00E96534" w:rsidRPr="00BD5347" w:rsidRDefault="00BD5347"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P</w:t>
      </w:r>
      <w:r w:rsidR="00E96534" w:rsidRPr="00E96534">
        <w:rPr>
          <w:rFonts w:eastAsia="Times New Roman" w:cs="Times New Roman"/>
          <w:b/>
          <w:bCs/>
          <w:color w:val="222222"/>
          <w:sz w:val="21"/>
          <w:szCs w:val="21"/>
        </w:rPr>
        <w:t>unting Oversight Board (PCAOB)</w:t>
      </w:r>
    </w:p>
    <w:p w:rsidR="00BD5347" w:rsidRPr="00E96534" w:rsidRDefault="00BD5347" w:rsidP="002D526C">
      <w:pPr>
        <w:shd w:val="clear" w:color="auto" w:fill="FFFFFF"/>
        <w:spacing w:before="48" w:after="120" w:line="480" w:lineRule="auto"/>
        <w:ind w:left="768"/>
        <w:jc w:val="both"/>
        <w:rPr>
          <w:rFonts w:eastAsia="Times New Roman" w:cs="Times New Roman"/>
          <w:color w:val="222222"/>
          <w:sz w:val="21"/>
          <w:szCs w:val="21"/>
        </w:rPr>
      </w:pPr>
      <w:r w:rsidRPr="00BD5347">
        <w:rPr>
          <w:rFonts w:eastAsia="Times New Roman" w:cs="Times New Roman"/>
          <w:color w:val="222222"/>
          <w:sz w:val="21"/>
          <w:szCs w:val="21"/>
        </w:rPr>
        <w:t>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r w:rsidRPr="00BD5347">
        <w:rPr>
          <w:rFonts w:ascii="Helvetica" w:hAnsi="Helvetica"/>
          <w:color w:val="222222"/>
        </w:rPr>
        <w:t xml:space="preserve"> </w:t>
      </w:r>
      <w:r w:rsidRPr="00BD5347">
        <w:rPr>
          <w:rFonts w:eastAsia="Times New Roman" w:cs="Times New Roman"/>
          <w:color w:val="222222"/>
          <w:sz w:val="21"/>
          <w:szCs w:val="21"/>
        </w:rPr>
        <w:t>The Public Company Accounting Oversight Board was created to oversee the audit of public companies. This board sets standards and rules for audit reports. All accounting firms that audit public companies must register with the Oversight Board. It also inspects, investigates, and enforces compliance from these registered firms.</w:t>
      </w:r>
    </w:p>
    <w:p w:rsidR="00E96534" w:rsidRPr="00E96534" w:rsidRDefault="00BD5347" w:rsidP="002D526C">
      <w:pPr>
        <w:spacing w:line="480" w:lineRule="auto"/>
        <w:jc w:val="both"/>
        <w:rPr>
          <w:rFonts w:cs="Times New Roman"/>
        </w:rPr>
      </w:pPr>
      <w:r>
        <w:rPr>
          <w:rFonts w:eastAsia="Times New Roman" w:cs="Times New Roman"/>
          <w:color w:val="222222"/>
          <w:sz w:val="21"/>
          <w:szCs w:val="21"/>
        </w:rPr>
        <w:t xml:space="preserve">  </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Auditor Independence</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r w:rsidR="00F5138D" w:rsidRPr="00F5138D">
        <w:rPr>
          <w:rFonts w:ascii="Helvetica" w:hAnsi="Helvetica"/>
          <w:color w:val="222222"/>
        </w:rPr>
        <w:t xml:space="preserve"> </w:t>
      </w:r>
      <w:r w:rsidR="00F5138D" w:rsidRPr="00F5138D">
        <w:rPr>
          <w:rFonts w:eastAsia="Times New Roman" w:cs="Times New Roman"/>
          <w:color w:val="222222"/>
          <w:sz w:val="21"/>
          <w:szCs w:val="21"/>
        </w:rPr>
        <w:t>Auditors now have a list of non-audit services they can't perform during an audit. The Act also imposes a one-year waiting period for audit firm employees who leave an accounting firm to become an executive for a former client. In addition, the former firm must wait one year before performing any audit services for the new employer.</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Corporate Responsibility</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lastRenderedPageBreak/>
        <w:t>Title III consists of eight sections and mandates that senior executives take </w:t>
      </w:r>
      <w:r w:rsidRPr="00E96534">
        <w:rPr>
          <w:rFonts w:eastAsia="Times New Roman" w:cs="Times New Roman"/>
          <w:b/>
          <w:bCs/>
          <w:color w:val="222222"/>
          <w:sz w:val="21"/>
          <w:szCs w:val="21"/>
        </w:rPr>
        <w:t>individual responsibility</w:t>
      </w:r>
      <w:r w:rsidRPr="00E96534">
        <w:rPr>
          <w:rFonts w:eastAsia="Times New Roman" w:cs="Times New Roman"/>
          <w:color w:val="222222"/>
          <w:sz w:val="21"/>
          <w:szCs w:val="21"/>
        </w:rPr>
        <w:t>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hyperlink r:id="rId6" w:tooltip="Chief Executive Officer" w:history="1">
        <w:r w:rsidRPr="00E96534">
          <w:rPr>
            <w:rFonts w:eastAsia="Times New Roman" w:cs="Times New Roman"/>
            <w:color w:val="0B0080"/>
            <w:sz w:val="21"/>
            <w:szCs w:val="21"/>
          </w:rPr>
          <w:t>Chief Executive Officer</w:t>
        </w:r>
      </w:hyperlink>
      <w:r w:rsidRPr="00E96534">
        <w:rPr>
          <w:rFonts w:eastAsia="Times New Roman" w:cs="Times New Roman"/>
          <w:color w:val="222222"/>
          <w:sz w:val="21"/>
          <w:szCs w:val="21"/>
        </w:rPr>
        <w:t> and </w:t>
      </w:r>
      <w:hyperlink r:id="rId7" w:tooltip="Chief Financial Officer" w:history="1">
        <w:r w:rsidRPr="00E96534">
          <w:rPr>
            <w:rFonts w:eastAsia="Times New Roman" w:cs="Times New Roman"/>
            <w:color w:val="0B0080"/>
            <w:sz w:val="21"/>
            <w:szCs w:val="21"/>
          </w:rPr>
          <w:t>Chief Financial Officer</w:t>
        </w:r>
      </w:hyperlink>
      <w:r w:rsidRPr="00E96534">
        <w:rPr>
          <w:rFonts w:eastAsia="Times New Roman" w:cs="Times New Roman"/>
          <w:color w:val="222222"/>
          <w:sz w:val="21"/>
          <w:szCs w:val="21"/>
        </w:rPr>
        <w:t>) certify and approve the integrity of their company financial reports quarterly.</w:t>
      </w:r>
      <w:hyperlink r:id="rId8" w:anchor="cite_note-6" w:history="1">
        <w:r w:rsidRPr="00E96534">
          <w:rPr>
            <w:rFonts w:eastAsia="Times New Roman" w:cs="Times New Roman"/>
            <w:color w:val="0B0080"/>
            <w:sz w:val="17"/>
            <w:szCs w:val="17"/>
            <w:vertAlign w:val="superscript"/>
          </w:rPr>
          <w:t>[6]</w:t>
        </w:r>
      </w:hyperlink>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Enhanced Financial Disclosures</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IV consists of nine sections. It describes enhanced reporting requirements for financial transactions, including </w:t>
      </w:r>
      <w:hyperlink r:id="rId9" w:tooltip="Off-balance-sheet" w:history="1">
        <w:r w:rsidRPr="00E96534">
          <w:rPr>
            <w:rFonts w:eastAsia="Times New Roman" w:cs="Times New Roman"/>
            <w:color w:val="0B0080"/>
            <w:sz w:val="21"/>
            <w:szCs w:val="21"/>
          </w:rPr>
          <w:t>off-balance-sheet</w:t>
        </w:r>
      </w:hyperlink>
      <w:r w:rsidRPr="00E96534">
        <w:rPr>
          <w:rFonts w:eastAsia="Times New Roman" w:cs="Times New Roman"/>
          <w:color w:val="222222"/>
          <w:sz w:val="21"/>
          <w:szCs w:val="21"/>
        </w:rPr>
        <w: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r w:rsidR="00F5138D" w:rsidRPr="00F5138D">
        <w:rPr>
          <w:rFonts w:ascii="Helvetica" w:hAnsi="Helvetica"/>
          <w:color w:val="222222"/>
        </w:rPr>
        <w:t xml:space="preserve"> </w:t>
      </w:r>
      <w:r w:rsidR="00F5138D" w:rsidRPr="00F5138D">
        <w:rPr>
          <w:rFonts w:eastAsia="Times New Roman" w:cs="Times New Roman"/>
          <w:color w:val="222222"/>
          <w:sz w:val="21"/>
          <w:szCs w:val="21"/>
        </w:rPr>
        <w:t> Transactions and relationships that are off-balance sheet but that may affect financial status now must be disclosed. Personal loans from a corporation to its executives are now largely prohibited. Annual reports must include a report stating the management is responsible for the internal control structure and procedures for financial reporting.</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Analyst Conflicts of Interest</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Commission Resources and Authority</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lastRenderedPageBreak/>
        <w:t>Studies and Reports</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VII consists of five sections and requires the </w:t>
      </w:r>
      <w:hyperlink r:id="rId10" w:tooltip="Comptroller General of the United States" w:history="1">
        <w:r w:rsidRPr="00E96534">
          <w:rPr>
            <w:rFonts w:eastAsia="Times New Roman" w:cs="Times New Roman"/>
            <w:color w:val="0B0080"/>
            <w:sz w:val="21"/>
            <w:szCs w:val="21"/>
          </w:rPr>
          <w:t>Comptroller General</w:t>
        </w:r>
      </w:hyperlink>
      <w:r w:rsidRPr="00E96534">
        <w:rPr>
          <w:rFonts w:eastAsia="Times New Roman" w:cs="Times New Roman"/>
          <w:color w:val="222222"/>
          <w:sz w:val="21"/>
          <w:szCs w:val="21"/>
        </w:rPr>
        <w:t>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hyperlink r:id="rId11" w:tooltip="Enron" w:history="1">
        <w:r w:rsidRPr="00E96534">
          <w:rPr>
            <w:rFonts w:eastAsia="Times New Roman" w:cs="Times New Roman"/>
            <w:color w:val="0B0080"/>
            <w:sz w:val="21"/>
            <w:szCs w:val="21"/>
          </w:rPr>
          <w:t>Enron</w:t>
        </w:r>
      </w:hyperlink>
      <w:r w:rsidRPr="00E96534">
        <w:rPr>
          <w:rFonts w:eastAsia="Times New Roman" w:cs="Times New Roman"/>
          <w:color w:val="222222"/>
          <w:sz w:val="21"/>
          <w:szCs w:val="21"/>
        </w:rPr>
        <w:t>, </w:t>
      </w:r>
      <w:hyperlink r:id="rId12" w:tooltip="Global Crossing" w:history="1">
        <w:r w:rsidRPr="00E96534">
          <w:rPr>
            <w:rFonts w:eastAsia="Times New Roman" w:cs="Times New Roman"/>
            <w:color w:val="0B0080"/>
            <w:sz w:val="21"/>
            <w:szCs w:val="21"/>
          </w:rPr>
          <w:t>Global Crossing</w:t>
        </w:r>
      </w:hyperlink>
      <w:r w:rsidRPr="00E96534">
        <w:rPr>
          <w:rFonts w:eastAsia="Times New Roman" w:cs="Times New Roman"/>
          <w:color w:val="222222"/>
          <w:sz w:val="21"/>
          <w:szCs w:val="21"/>
        </w:rPr>
        <w:t>, and others to manipulate earnings and obfuscate true financial conditions.</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Corporate and Criminal Fraud Accountability</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VIII consists of seven sections and is also referred to as the </w:t>
      </w:r>
      <w:r w:rsidRPr="00E96534">
        <w:rPr>
          <w:rFonts w:eastAsia="Times New Roman" w:cs="Times New Roman"/>
          <w:i/>
          <w:iCs/>
          <w:color w:val="222222"/>
          <w:sz w:val="21"/>
          <w:szCs w:val="21"/>
        </w:rPr>
        <w:t>"Corporate and Criminal Fraud Accountability Act of 2002</w:t>
      </w:r>
      <w:r w:rsidRPr="00E96534">
        <w:rPr>
          <w:rFonts w:eastAsia="Times New Roman" w:cs="Times New Roman"/>
          <w:color w:val="222222"/>
          <w:sz w:val="21"/>
          <w:szCs w:val="21"/>
        </w:rPr>
        <w:t>". It describes specific criminal penalties for manipulation, destruction or alteration of financial records or other interference with investigations, while providing certain protections for whistle-blowers.</w:t>
      </w:r>
      <w:r w:rsidR="00F5138D" w:rsidRPr="00F5138D">
        <w:rPr>
          <w:rFonts w:ascii="Helvetica" w:hAnsi="Helvetica"/>
          <w:color w:val="222222"/>
        </w:rPr>
        <w:t xml:space="preserve"> </w:t>
      </w:r>
      <w:r w:rsidR="00F5138D" w:rsidRPr="00F5138D">
        <w:rPr>
          <w:rFonts w:eastAsia="Times New Roman" w:cs="Times New Roman"/>
          <w:color w:val="222222"/>
          <w:sz w:val="21"/>
          <w:szCs w:val="21"/>
        </w:rPr>
        <w:t xml:space="preserve">Altering, destroying, concealing or falsifying records or documents with the intent to influence a federal investigation or bankruptcy case is subject to fines and up to 20 years imprisonment. New audit </w:t>
      </w:r>
      <w:proofErr w:type="spellStart"/>
      <w:r w:rsidR="00F5138D" w:rsidRPr="00F5138D">
        <w:rPr>
          <w:rFonts w:eastAsia="Times New Roman" w:cs="Times New Roman"/>
          <w:color w:val="222222"/>
          <w:sz w:val="21"/>
          <w:szCs w:val="21"/>
        </w:rPr>
        <w:t>workpapers</w:t>
      </w:r>
      <w:proofErr w:type="spellEnd"/>
      <w:r w:rsidR="00F5138D" w:rsidRPr="00F5138D">
        <w:rPr>
          <w:rFonts w:eastAsia="Times New Roman" w:cs="Times New Roman"/>
          <w:color w:val="222222"/>
          <w:sz w:val="21"/>
          <w:szCs w:val="21"/>
        </w:rPr>
        <w:t xml:space="preserve"> must be retained for five years. Any person who knowingly defrauds shareholders of publicly traded companies is subject to fines or imprisonment.</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White Collar Crime Penalty Enhancement</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IX consists of six sections. This section is also called the </w:t>
      </w:r>
      <w:r w:rsidRPr="00E96534">
        <w:rPr>
          <w:rFonts w:eastAsia="Times New Roman" w:cs="Times New Roman"/>
          <w:i/>
          <w:iCs/>
          <w:color w:val="222222"/>
          <w:sz w:val="21"/>
          <w:szCs w:val="21"/>
        </w:rPr>
        <w:t>"White Collar Crime Penalty Enhancement Act of 2002"</w:t>
      </w:r>
      <w:r w:rsidRPr="00E96534">
        <w:rPr>
          <w:rFonts w:eastAsia="Times New Roman" w:cs="Times New Roman"/>
          <w:color w:val="222222"/>
          <w:sz w:val="21"/>
          <w:szCs w:val="21"/>
        </w:rPr>
        <w:t>. This section increases the criminal penalties associated with </w:t>
      </w:r>
      <w:hyperlink r:id="rId13" w:tooltip="White-collar crime" w:history="1">
        <w:r w:rsidRPr="00E96534">
          <w:rPr>
            <w:rFonts w:eastAsia="Times New Roman" w:cs="Times New Roman"/>
            <w:color w:val="0B0080"/>
            <w:sz w:val="21"/>
            <w:szCs w:val="21"/>
          </w:rPr>
          <w:t>white-collar crimes</w:t>
        </w:r>
      </w:hyperlink>
      <w:r w:rsidRPr="00E96534">
        <w:rPr>
          <w:rFonts w:eastAsia="Times New Roman" w:cs="Times New Roman"/>
          <w:color w:val="222222"/>
          <w:sz w:val="21"/>
          <w:szCs w:val="21"/>
        </w:rPr>
        <w:t> and conspiracies. It recommends stronger sentencing guidelines and specifically adds failure to certify corporate financial reports as a criminal offense.</w:t>
      </w:r>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Corporate Tax Returns</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 xml:space="preserve">Title X consists of one section. </w:t>
      </w:r>
      <w:proofErr w:type="gramStart"/>
      <w:r w:rsidRPr="00E96534">
        <w:rPr>
          <w:rFonts w:eastAsia="Times New Roman" w:cs="Times New Roman"/>
          <w:color w:val="222222"/>
          <w:sz w:val="21"/>
          <w:szCs w:val="21"/>
        </w:rPr>
        <w:t>Section 1001 states that the </w:t>
      </w:r>
      <w:hyperlink r:id="rId14" w:tooltip="Chief Executive Officer" w:history="1">
        <w:r w:rsidRPr="00E96534">
          <w:rPr>
            <w:rFonts w:eastAsia="Times New Roman" w:cs="Times New Roman"/>
            <w:color w:val="0B0080"/>
            <w:sz w:val="21"/>
            <w:szCs w:val="21"/>
          </w:rPr>
          <w:t>Chief Executive Officer</w:t>
        </w:r>
      </w:hyperlink>
      <w:r w:rsidRPr="00E96534">
        <w:rPr>
          <w:rFonts w:eastAsia="Times New Roman" w:cs="Times New Roman"/>
          <w:color w:val="222222"/>
          <w:sz w:val="21"/>
          <w:szCs w:val="21"/>
        </w:rPr>
        <w:t> should sign the company tax return.</w:t>
      </w:r>
      <w:proofErr w:type="gramEnd"/>
    </w:p>
    <w:p w:rsidR="00E96534" w:rsidRPr="00E96534" w:rsidRDefault="00E96534" w:rsidP="002D526C">
      <w:pPr>
        <w:numPr>
          <w:ilvl w:val="0"/>
          <w:numId w:val="1"/>
        </w:numPr>
        <w:shd w:val="clear" w:color="auto" w:fill="FFFFFF"/>
        <w:spacing w:before="48" w:after="120" w:line="480" w:lineRule="auto"/>
        <w:ind w:left="768"/>
        <w:jc w:val="both"/>
        <w:rPr>
          <w:rFonts w:eastAsia="Times New Roman" w:cs="Times New Roman"/>
          <w:color w:val="222222"/>
          <w:sz w:val="21"/>
          <w:szCs w:val="21"/>
        </w:rPr>
      </w:pPr>
      <w:r w:rsidRPr="00E96534">
        <w:rPr>
          <w:rFonts w:eastAsia="Times New Roman" w:cs="Times New Roman"/>
          <w:b/>
          <w:bCs/>
          <w:color w:val="222222"/>
          <w:sz w:val="21"/>
          <w:szCs w:val="21"/>
        </w:rPr>
        <w:t>Corporate Fraud Accountability</w:t>
      </w:r>
    </w:p>
    <w:p w:rsidR="00E96534" w:rsidRPr="00E96534" w:rsidRDefault="00E96534" w:rsidP="002D526C">
      <w:pPr>
        <w:shd w:val="clear" w:color="auto" w:fill="FFFFFF"/>
        <w:spacing w:after="24" w:line="480" w:lineRule="auto"/>
        <w:ind w:left="720"/>
        <w:jc w:val="both"/>
        <w:rPr>
          <w:rFonts w:eastAsia="Times New Roman" w:cs="Times New Roman"/>
          <w:color w:val="222222"/>
          <w:sz w:val="21"/>
          <w:szCs w:val="21"/>
        </w:rPr>
      </w:pPr>
      <w:r w:rsidRPr="00E96534">
        <w:rPr>
          <w:rFonts w:eastAsia="Times New Roman" w:cs="Times New Roman"/>
          <w:color w:val="222222"/>
          <w:sz w:val="21"/>
          <w:szCs w:val="21"/>
        </w:rPr>
        <w:t>Title XI consists of seven sections. Section 1101 recommends a name for this title as </w:t>
      </w:r>
      <w:r w:rsidRPr="00E96534">
        <w:rPr>
          <w:rFonts w:eastAsia="Times New Roman" w:cs="Times New Roman"/>
          <w:i/>
          <w:iCs/>
          <w:color w:val="222222"/>
          <w:sz w:val="21"/>
          <w:szCs w:val="21"/>
        </w:rPr>
        <w:t>"Corporate Fraud Accountability Act of 2002"</w:t>
      </w:r>
      <w:r w:rsidRPr="00E96534">
        <w:rPr>
          <w:rFonts w:eastAsia="Times New Roman" w:cs="Times New Roman"/>
          <w:color w:val="222222"/>
          <w:sz w:val="21"/>
          <w:szCs w:val="21"/>
        </w:rPr>
        <w:t xml:space="preserve">. It identifies corporate fraud and records tampering as criminal </w:t>
      </w:r>
      <w:r w:rsidRPr="00E96534">
        <w:rPr>
          <w:rFonts w:eastAsia="Times New Roman" w:cs="Times New Roman"/>
          <w:color w:val="222222"/>
          <w:sz w:val="21"/>
          <w:szCs w:val="21"/>
        </w:rPr>
        <w:lastRenderedPageBreak/>
        <w:t>offenses and joins those offenses to specific penalties. It also revises sentencing guidelines and strengthens their penalties. This enables the SEC to resort to temporarily freezing transactions or payments that have been deemed "large" or "unusual".</w:t>
      </w:r>
    </w:p>
    <w:p w:rsidR="00E96534" w:rsidRPr="00E96534" w:rsidRDefault="00E96534" w:rsidP="00BD5347">
      <w:pPr>
        <w:jc w:val="both"/>
        <w:rPr>
          <w:rFonts w:ascii="New romans" w:hAnsi="New romans"/>
        </w:rPr>
      </w:pPr>
    </w:p>
    <w:sectPr w:rsidR="00E96534" w:rsidRPr="00E96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ew rom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17075"/>
    <w:multiLevelType w:val="multilevel"/>
    <w:tmpl w:val="2FB4710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4"/>
    <w:rsid w:val="002609DA"/>
    <w:rsid w:val="002D526C"/>
    <w:rsid w:val="00342B75"/>
    <w:rsid w:val="005D4E89"/>
    <w:rsid w:val="006F53B1"/>
    <w:rsid w:val="007D0B17"/>
    <w:rsid w:val="00B848DB"/>
    <w:rsid w:val="00BD5347"/>
    <w:rsid w:val="00E96534"/>
    <w:rsid w:val="00F5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5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65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5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65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rbanes%E2%80%93Oxley_Act" TargetMode="External"/><Relationship Id="rId13" Type="http://schemas.openxmlformats.org/officeDocument/2006/relationships/hyperlink" Target="https://en.wikipedia.org/wiki/White-collar_crime" TargetMode="External"/><Relationship Id="rId3" Type="http://schemas.microsoft.com/office/2007/relationships/stylesWithEffects" Target="stylesWithEffects.xml"/><Relationship Id="rId7" Type="http://schemas.openxmlformats.org/officeDocument/2006/relationships/hyperlink" Target="https://en.wikipedia.org/wiki/Chief_Financial_Officer" TargetMode="External"/><Relationship Id="rId12" Type="http://schemas.openxmlformats.org/officeDocument/2006/relationships/hyperlink" Target="https://en.wikipedia.org/wiki/Global_Cross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hief_Executive_Officer" TargetMode="External"/><Relationship Id="rId11" Type="http://schemas.openxmlformats.org/officeDocument/2006/relationships/hyperlink" Target="https://en.wikipedia.org/wiki/Enr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omptroller_General_of_the_United_States" TargetMode="External"/><Relationship Id="rId4" Type="http://schemas.openxmlformats.org/officeDocument/2006/relationships/settings" Target="settings.xml"/><Relationship Id="rId9" Type="http://schemas.openxmlformats.org/officeDocument/2006/relationships/hyperlink" Target="https://en.wikipedia.org/wiki/Off-balance-sheet" TargetMode="External"/><Relationship Id="rId14" Type="http://schemas.openxmlformats.org/officeDocument/2006/relationships/hyperlink" Target="https://en.wikipedia.org/wiki/Chief_Executive_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2018-10-14T08:41:00Z</dcterms:created>
  <dcterms:modified xsi:type="dcterms:W3CDTF">2018-10-14T12:32:00Z</dcterms:modified>
</cp:coreProperties>
</file>