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AFDB" w14:textId="369BF19E" w:rsidR="00765077" w:rsidRPr="00FD5A82" w:rsidRDefault="004D5FDE" w:rsidP="00FD5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 xml:space="preserve">NAME: </w:t>
      </w:r>
      <w:r w:rsidR="004468A8" w:rsidRPr="00FD5A82">
        <w:rPr>
          <w:rFonts w:ascii="Times New Roman" w:hAnsi="Times New Roman" w:cs="Times New Roman"/>
          <w:sz w:val="24"/>
          <w:szCs w:val="24"/>
        </w:rPr>
        <w:t xml:space="preserve">NWACHUKWU OLUCHUKWU ESTHER </w:t>
      </w:r>
    </w:p>
    <w:p w14:paraId="20D151F5" w14:textId="77777777" w:rsidR="004D5FDE" w:rsidRPr="00FD5A82" w:rsidRDefault="004D5FDE" w:rsidP="00FD5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A82">
        <w:rPr>
          <w:rFonts w:ascii="Times New Roman" w:hAnsi="Times New Roman" w:cs="Times New Roman"/>
          <w:sz w:val="24"/>
          <w:szCs w:val="24"/>
        </w:rPr>
        <w:t xml:space="preserve">COLLEGE </w:t>
      </w:r>
      <w:r w:rsidR="004468A8" w:rsidRPr="00FD5A82">
        <w:rPr>
          <w:rFonts w:ascii="Times New Roman" w:hAnsi="Times New Roman" w:cs="Times New Roman"/>
          <w:sz w:val="24"/>
          <w:szCs w:val="24"/>
        </w:rPr>
        <w:t>:SMS</w:t>
      </w:r>
      <w:proofErr w:type="gramEnd"/>
      <w:r w:rsidR="004468A8" w:rsidRPr="00FD5A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941DEFA" w14:textId="77777777" w:rsidR="004D5FDE" w:rsidRPr="00FD5A82" w:rsidRDefault="004D5FDE" w:rsidP="00FD5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A82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4468A8" w:rsidRPr="00FD5A82">
        <w:rPr>
          <w:rFonts w:ascii="Times New Roman" w:hAnsi="Times New Roman" w:cs="Times New Roman"/>
          <w:sz w:val="24"/>
          <w:szCs w:val="24"/>
        </w:rPr>
        <w:t>:ACCOUNTING</w:t>
      </w:r>
      <w:proofErr w:type="gramEnd"/>
      <w:r w:rsidR="004468A8" w:rsidRPr="00FD5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3CE6D" w14:textId="77777777" w:rsidR="004D5FDE" w:rsidRPr="00FD5A82" w:rsidRDefault="004D5FDE" w:rsidP="00FD5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 xml:space="preserve">MATRIC </w:t>
      </w:r>
      <w:proofErr w:type="gramStart"/>
      <w:r w:rsidRPr="00FD5A82">
        <w:rPr>
          <w:rFonts w:ascii="Times New Roman" w:hAnsi="Times New Roman" w:cs="Times New Roman"/>
          <w:sz w:val="24"/>
          <w:szCs w:val="24"/>
        </w:rPr>
        <w:t xml:space="preserve">NUMBER </w:t>
      </w:r>
      <w:r w:rsidR="004468A8" w:rsidRPr="00FD5A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468A8" w:rsidRPr="00FD5A82">
        <w:rPr>
          <w:rFonts w:ascii="Times New Roman" w:hAnsi="Times New Roman" w:cs="Times New Roman"/>
          <w:sz w:val="24"/>
          <w:szCs w:val="24"/>
        </w:rPr>
        <w:t xml:space="preserve"> 17/SMS02/034</w:t>
      </w:r>
    </w:p>
    <w:p w14:paraId="38815AD2" w14:textId="5586021B" w:rsidR="00914E9C" w:rsidRPr="00FD5A82" w:rsidRDefault="004D5FDE" w:rsidP="00FD5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A82">
        <w:rPr>
          <w:rFonts w:ascii="Times New Roman" w:hAnsi="Times New Roman" w:cs="Times New Roman"/>
          <w:sz w:val="24"/>
          <w:szCs w:val="24"/>
        </w:rPr>
        <w:t xml:space="preserve">COURSE </w:t>
      </w:r>
      <w:r w:rsidR="004468A8" w:rsidRPr="00FD5A82">
        <w:rPr>
          <w:rFonts w:ascii="Times New Roman" w:hAnsi="Times New Roman" w:cs="Times New Roman"/>
          <w:sz w:val="24"/>
          <w:szCs w:val="24"/>
        </w:rPr>
        <w:t>:ACCOUNTING</w:t>
      </w:r>
      <w:proofErr w:type="gramEnd"/>
      <w:r w:rsidR="004468A8" w:rsidRPr="00FD5A82">
        <w:rPr>
          <w:rFonts w:ascii="Times New Roman" w:hAnsi="Times New Roman" w:cs="Times New Roman"/>
          <w:sz w:val="24"/>
          <w:szCs w:val="24"/>
        </w:rPr>
        <w:t xml:space="preserve"> 205</w:t>
      </w:r>
    </w:p>
    <w:p w14:paraId="2D59F293" w14:textId="2373F71A" w:rsidR="00184D01" w:rsidRPr="00FD5A82" w:rsidRDefault="004468A8" w:rsidP="00FD5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A82">
        <w:rPr>
          <w:rFonts w:ascii="Times New Roman" w:hAnsi="Times New Roman" w:cs="Times New Roman"/>
          <w:sz w:val="24"/>
          <w:szCs w:val="24"/>
        </w:rPr>
        <w:t xml:space="preserve">ASSIGNMENT </w:t>
      </w:r>
      <w:r w:rsidR="003B1887" w:rsidRPr="00FD5A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B1887" w:rsidRPr="00FD5A82">
        <w:rPr>
          <w:rFonts w:ascii="Times New Roman" w:hAnsi="Times New Roman" w:cs="Times New Roman"/>
          <w:sz w:val="24"/>
          <w:szCs w:val="24"/>
        </w:rPr>
        <w:t xml:space="preserve"> What are the main governance aspects of </w:t>
      </w:r>
      <w:r w:rsidR="0018326E" w:rsidRPr="00FD5A82">
        <w:rPr>
          <w:rFonts w:ascii="Times New Roman" w:hAnsi="Times New Roman" w:cs="Times New Roman"/>
          <w:sz w:val="24"/>
          <w:szCs w:val="24"/>
        </w:rPr>
        <w:t xml:space="preserve">Sarbanes-Oxely </w:t>
      </w:r>
      <w:r w:rsidR="00184D01" w:rsidRPr="00FD5A82">
        <w:rPr>
          <w:rFonts w:ascii="Times New Roman" w:hAnsi="Times New Roman" w:cs="Times New Roman"/>
          <w:sz w:val="24"/>
          <w:szCs w:val="24"/>
        </w:rPr>
        <w:t xml:space="preserve">act. </w:t>
      </w:r>
    </w:p>
    <w:p w14:paraId="73DE8EA6" w14:textId="2BE32A80" w:rsidR="005F4FDB" w:rsidRPr="00FD5A82" w:rsidRDefault="00321849" w:rsidP="00FD5A82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 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Sarbanes</w:t>
      </w:r>
      <w:r w:rsidRPr="00FD5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Oxley</w:t>
      </w:r>
      <w:r w:rsidRPr="00FD5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Act</w:t>
      </w:r>
      <w:r w:rsidRPr="00FD5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FD5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2002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672C2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enacted July 30, 2002), also known as the "Public Company Accounting Reform and Investor Protection Act" (in the </w:t>
      </w:r>
      <w:r w:rsidRPr="00FD5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Senate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and "Corporate and Auditing Accountability, Responsibility, and Transparency Act" (in the</w:t>
      </w:r>
      <w:r w:rsidR="00BA2277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house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) and more commonly called 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Sarbanes</w:t>
      </w:r>
      <w:r w:rsidRPr="00FD5A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Oxley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Sarbox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or </w:t>
      </w:r>
      <w:r w:rsidRPr="00FD5A8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SOX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is a </w:t>
      </w:r>
      <w:r w:rsidRPr="00FD5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United States federal law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that set new or expanded requirements for all U.S. </w:t>
      </w:r>
      <w:r w:rsidRPr="00FD5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 company</w:t>
      </w: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boards, management and public accounting firms. </w:t>
      </w:r>
      <w:proofErr w:type="gramStart"/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number of</w:t>
      </w:r>
      <w:proofErr w:type="gramEnd"/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provisions of the Act also apply to privately held companies, such as the willful destruction of evidence to impede a federal investigation</w:t>
      </w:r>
      <w:r w:rsidR="00BA2277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60BC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act had a profound effect on </w:t>
      </w:r>
      <w:r w:rsidR="00260BC8" w:rsidRPr="00FD5A82">
        <w:rPr>
          <w:rFonts w:ascii="Times New Roman" w:eastAsia="Times New Roman" w:hAnsi="Times New Roman" w:cs="Times New Roman"/>
          <w:sz w:val="24"/>
          <w:szCs w:val="24"/>
        </w:rPr>
        <w:t>corporate governance</w:t>
      </w:r>
      <w:r w:rsidR="00260BC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in the U.S</w:t>
      </w:r>
      <w:r w:rsidR="00940580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143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5DA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Sarbanes-Oxley</w:t>
      </w:r>
      <w:r w:rsidR="00063F72" w:rsidRPr="00FD5A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Act established the </w:t>
      </w:r>
      <w:r w:rsidR="00F8005B" w:rsidRPr="00FD5A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public</w:t>
      </w:r>
      <w:r w:rsidR="00EF1294" w:rsidRPr="00FD5A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company</w:t>
      </w:r>
      <w:r w:rsidR="00933D29" w:rsidRPr="00FD5A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accounting</w:t>
      </w:r>
      <w:r w:rsidR="00260BC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3D29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oversight boards</w:t>
      </w:r>
      <w:r w:rsidR="00D6143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60BC8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Sarbanes-Oxley Act </w:t>
      </w:r>
      <w:r w:rsidR="00001AB0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helps in the</w:t>
      </w:r>
      <w:r w:rsidR="006755BE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5EF1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strengthening</w:t>
      </w:r>
      <w:r w:rsidR="00A25DA8" w:rsidRPr="00FD5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755BE" w:rsidRPr="00FD5A82">
        <w:rPr>
          <w:rFonts w:ascii="Times New Roman" w:hAnsi="Times New Roman" w:cs="Times New Roman"/>
          <w:sz w:val="24"/>
          <w:szCs w:val="24"/>
        </w:rPr>
        <w:t xml:space="preserve">of </w:t>
      </w:r>
      <w:r w:rsidR="00C65EF1" w:rsidRPr="00FD5A8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C65EF1" w:rsidRPr="00FD5A82">
        <w:rPr>
          <w:rFonts w:ascii="Times New Roman" w:hAnsi="Times New Roman" w:cs="Times New Roman"/>
          <w:sz w:val="24"/>
          <w:szCs w:val="24"/>
        </w:rPr>
        <w:t xml:space="preserve"> </w:t>
      </w:r>
      <w:r w:rsidR="00451B1A" w:rsidRPr="00FD5A82">
        <w:rPr>
          <w:rFonts w:ascii="Times New Roman" w:hAnsi="Times New Roman" w:cs="Times New Roman"/>
          <w:sz w:val="24"/>
          <w:szCs w:val="24"/>
        </w:rPr>
        <w:t>central oversight board</w:t>
      </w:r>
      <w:r w:rsidR="00A7353B" w:rsidRPr="00FD5A82">
        <w:rPr>
          <w:rFonts w:ascii="Times New Roman" w:hAnsi="Times New Roman" w:cs="Times New Roman"/>
          <w:sz w:val="24"/>
          <w:szCs w:val="24"/>
        </w:rPr>
        <w:t xml:space="preserve"> to </w:t>
      </w:r>
      <w:r w:rsidR="00172F50" w:rsidRPr="00FD5A82">
        <w:rPr>
          <w:rFonts w:ascii="Times New Roman" w:hAnsi="Times New Roman" w:cs="Times New Roman"/>
          <w:sz w:val="24"/>
          <w:szCs w:val="24"/>
        </w:rPr>
        <w:t xml:space="preserve">provide </w:t>
      </w:r>
      <w:r w:rsidR="00591572" w:rsidRPr="00FD5A82">
        <w:rPr>
          <w:rFonts w:ascii="Times New Roman" w:hAnsi="Times New Roman" w:cs="Times New Roman"/>
          <w:sz w:val="24"/>
          <w:szCs w:val="24"/>
        </w:rPr>
        <w:t xml:space="preserve">independent oversight </w:t>
      </w:r>
      <w:r w:rsidR="00AD31ED" w:rsidRPr="00FD5A82">
        <w:rPr>
          <w:rFonts w:ascii="Times New Roman" w:hAnsi="Times New Roman" w:cs="Times New Roman"/>
          <w:sz w:val="24"/>
          <w:szCs w:val="24"/>
        </w:rPr>
        <w:t>of public accounting firms</w:t>
      </w:r>
      <w:r w:rsidR="009A427B" w:rsidRPr="00FD5A82">
        <w:rPr>
          <w:rFonts w:ascii="Times New Roman" w:hAnsi="Times New Roman" w:cs="Times New Roman"/>
          <w:sz w:val="24"/>
          <w:szCs w:val="24"/>
        </w:rPr>
        <w:t xml:space="preserve"> providing</w:t>
      </w:r>
      <w:r w:rsidR="00AD31ED" w:rsidRPr="00FD5A82">
        <w:rPr>
          <w:rFonts w:ascii="Times New Roman" w:hAnsi="Times New Roman" w:cs="Times New Roman"/>
          <w:sz w:val="24"/>
          <w:szCs w:val="24"/>
        </w:rPr>
        <w:t xml:space="preserve"> </w:t>
      </w:r>
      <w:r w:rsidR="009A427B" w:rsidRPr="00FD5A82">
        <w:rPr>
          <w:rFonts w:ascii="Times New Roman" w:hAnsi="Times New Roman" w:cs="Times New Roman"/>
          <w:sz w:val="24"/>
          <w:szCs w:val="24"/>
        </w:rPr>
        <w:t xml:space="preserve">audit </w:t>
      </w:r>
      <w:r w:rsidR="003330B8" w:rsidRPr="00FD5A82">
        <w:rPr>
          <w:rFonts w:ascii="Times New Roman" w:hAnsi="Times New Roman" w:cs="Times New Roman"/>
          <w:sz w:val="24"/>
          <w:szCs w:val="24"/>
        </w:rPr>
        <w:t xml:space="preserve">services. </w:t>
      </w:r>
      <w:r w:rsidR="00911658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r w:rsidR="00782D81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also creates a central oversight board tasked with registering auditors, defining the specific processes and procedures for compliance audits. </w:t>
      </w:r>
      <w:r w:rsidR="00FC0205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also addresses</w:t>
      </w:r>
      <w:r w:rsidR="00914E9C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auditor independence, </w:t>
      </w:r>
      <w:r w:rsidR="00FC0205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new auditor approval requirements, audit partner rotation, and auditor reporting requirements</w:t>
      </w:r>
      <w:r w:rsidR="005F4FDB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EBBC5B2" w14:textId="4EBEC669" w:rsidR="00184D01" w:rsidRPr="00FD5A82" w:rsidRDefault="001B4DC8" w:rsidP="00FD5A82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Sarbanes-Oxley Act </w:t>
      </w:r>
      <w:r w:rsidR="00FE55C4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the major element of Corporate responsibility </w:t>
      </w:r>
      <w:r w:rsidR="0014773A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defines the interaction of external auditors and corporate audit </w:t>
      </w:r>
      <w:proofErr w:type="gramStart"/>
      <w:r w:rsidR="0014773A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committees, and</w:t>
      </w:r>
      <w:proofErr w:type="gramEnd"/>
      <w:r w:rsidR="0014773A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specifies the responsibility of corporate </w:t>
      </w:r>
      <w:r w:rsidR="0014773A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officers for the accuracy and validity of corporate financial reports. </w:t>
      </w:r>
      <w:r w:rsidR="00D643D7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enumerates specific limits on the behaviors of corporate officers and describes specific forfeitures of benefits and civil penalties for non-compliance</w:t>
      </w:r>
      <w:r w:rsidR="00210965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BE7FE9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Sarbanes-Oxley Act significantly strengthens the </w:t>
      </w:r>
      <w:r w:rsidR="00980BC1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disclosure requirement. </w:t>
      </w:r>
      <w:r w:rsidR="00D643D7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2B5159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describes enhanced reporting requirements for financial transactions, including </w:t>
      </w:r>
      <w:r w:rsidR="002B5159" w:rsidRPr="00FD5A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off-balance-sheet</w:t>
      </w:r>
      <w:r w:rsidR="002B5159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transactions, pro-forma figures and stock transactions of corporate </w:t>
      </w:r>
      <w:r w:rsidR="00AA1219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officers. </w:t>
      </w:r>
      <w:r w:rsidR="00DF4401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Sarbanes-Oxley Act imposes harsher punishment for obstructing justice and securities fraud, mail fraud and </w:t>
      </w:r>
      <w:r w:rsidR="00DF4401" w:rsidRPr="00FD5A82">
        <w:rPr>
          <w:rFonts w:ascii="Times New Roman" w:eastAsia="Times New Roman" w:hAnsi="Times New Roman" w:cs="Times New Roman"/>
          <w:sz w:val="24"/>
          <w:szCs w:val="24"/>
        </w:rPr>
        <w:t>wire fraud</w:t>
      </w:r>
      <w:r w:rsidR="00DF4401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4401" w:rsidRPr="00FD5A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B6ED2" w:rsidRPr="00FD5A8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2867CD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deals with</w:t>
      </w:r>
      <w:r w:rsidR="001248BC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corporate and</w:t>
      </w:r>
      <w:r w:rsidR="008E3F4B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criminal fraud accountability, </w:t>
      </w:r>
      <w:proofErr w:type="gramStart"/>
      <w:r w:rsidR="00715DE8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gramEnd"/>
      <w:r w:rsidR="00715DE8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describes specific criminal penalties for manipulation, destruction or alteration of financial records or other interference with investigations, while providing certain protections for whistle-blowers.</w:t>
      </w:r>
      <w:r w:rsidR="001B5EC7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751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Sarbanes-Oxley Act deals with </w:t>
      </w:r>
      <w:r w:rsidR="00FC7EDD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analyst conflicts of </w:t>
      </w:r>
      <w:proofErr w:type="gramStart"/>
      <w:r w:rsidR="00FC7EDD" w:rsidRPr="00FD5A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interest.</w:t>
      </w:r>
      <w:r w:rsidR="00EE6751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</w:t>
      </w:r>
      <w:proofErr w:type="gramEnd"/>
      <w:r w:rsidR="00EE6751" w:rsidRPr="00FD5A8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defines the codes of conduct for securities analysts and requires disclosure of knowable conflicts of interest.</w:t>
      </w:r>
    </w:p>
    <w:sectPr w:rsidR="00184D01" w:rsidRPr="00F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77"/>
    <w:rsid w:val="00001AB0"/>
    <w:rsid w:val="00063F72"/>
    <w:rsid w:val="001248BC"/>
    <w:rsid w:val="0014773A"/>
    <w:rsid w:val="00172F50"/>
    <w:rsid w:val="0018326E"/>
    <w:rsid w:val="00184D01"/>
    <w:rsid w:val="001B4DC8"/>
    <w:rsid w:val="001B5EC7"/>
    <w:rsid w:val="001E4014"/>
    <w:rsid w:val="00210965"/>
    <w:rsid w:val="002250C8"/>
    <w:rsid w:val="00260BC8"/>
    <w:rsid w:val="002867CD"/>
    <w:rsid w:val="002B5159"/>
    <w:rsid w:val="00321849"/>
    <w:rsid w:val="003330B8"/>
    <w:rsid w:val="003501E5"/>
    <w:rsid w:val="003B1887"/>
    <w:rsid w:val="00415258"/>
    <w:rsid w:val="004468A8"/>
    <w:rsid w:val="00451B1A"/>
    <w:rsid w:val="004B43CA"/>
    <w:rsid w:val="004C16F7"/>
    <w:rsid w:val="004D5FDE"/>
    <w:rsid w:val="00564131"/>
    <w:rsid w:val="005672C2"/>
    <w:rsid w:val="00591572"/>
    <w:rsid w:val="0059622D"/>
    <w:rsid w:val="005F4FDB"/>
    <w:rsid w:val="00616EA5"/>
    <w:rsid w:val="006755BE"/>
    <w:rsid w:val="00715DE8"/>
    <w:rsid w:val="00765077"/>
    <w:rsid w:val="00782D81"/>
    <w:rsid w:val="00807330"/>
    <w:rsid w:val="008C44CA"/>
    <w:rsid w:val="008E3F4B"/>
    <w:rsid w:val="00911658"/>
    <w:rsid w:val="00913048"/>
    <w:rsid w:val="00914E9C"/>
    <w:rsid w:val="00933D29"/>
    <w:rsid w:val="00940580"/>
    <w:rsid w:val="00980BC1"/>
    <w:rsid w:val="009A427B"/>
    <w:rsid w:val="009B6ED2"/>
    <w:rsid w:val="00A25DA8"/>
    <w:rsid w:val="00A56C8C"/>
    <w:rsid w:val="00A7353B"/>
    <w:rsid w:val="00AA1219"/>
    <w:rsid w:val="00AD31ED"/>
    <w:rsid w:val="00BA2277"/>
    <w:rsid w:val="00BE68FB"/>
    <w:rsid w:val="00BE7FE9"/>
    <w:rsid w:val="00C65EF1"/>
    <w:rsid w:val="00D61438"/>
    <w:rsid w:val="00D643D7"/>
    <w:rsid w:val="00DF4401"/>
    <w:rsid w:val="00E26ED2"/>
    <w:rsid w:val="00EE6751"/>
    <w:rsid w:val="00EF1294"/>
    <w:rsid w:val="00F8005B"/>
    <w:rsid w:val="00FC0205"/>
    <w:rsid w:val="00FC7EDD"/>
    <w:rsid w:val="00FD5A82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4E54"/>
  <w15:chartTrackingRefBased/>
  <w15:docId w15:val="{DA3C6AFE-5D92-0340-9C7B-7D85C47C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esthernwachukwu672@gmail.com</dc:creator>
  <cp:keywords/>
  <dc:description/>
  <cp:lastModifiedBy>NIMA AKINSANYA</cp:lastModifiedBy>
  <cp:revision>1</cp:revision>
  <dcterms:created xsi:type="dcterms:W3CDTF">2018-10-14T09:02:00Z</dcterms:created>
  <dcterms:modified xsi:type="dcterms:W3CDTF">2018-10-14T13:20:00Z</dcterms:modified>
</cp:coreProperties>
</file>