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06" w:rsidRPr="00801387" w:rsidRDefault="00907446" w:rsidP="00E611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1387">
        <w:rPr>
          <w:rFonts w:ascii="Times New Roman" w:hAnsi="Times New Roman" w:cs="Times New Roman"/>
          <w:b/>
          <w:sz w:val="24"/>
          <w:szCs w:val="24"/>
        </w:rPr>
        <w:t>Name: KOLAWOLE OLUMIDE DAVID</w:t>
      </w:r>
    </w:p>
    <w:p w:rsidR="00907446" w:rsidRPr="00801387" w:rsidRDefault="00AE6CC1" w:rsidP="00E611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1387">
        <w:rPr>
          <w:rFonts w:ascii="Times New Roman" w:hAnsi="Times New Roman" w:cs="Times New Roman"/>
          <w:b/>
          <w:sz w:val="24"/>
          <w:szCs w:val="24"/>
        </w:rPr>
        <w:t xml:space="preserve">Matric no: 17/SMS02/031 </w:t>
      </w:r>
    </w:p>
    <w:p w:rsidR="00AE6CC1" w:rsidRPr="00801387" w:rsidRDefault="00AE6CC1" w:rsidP="00E611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01387">
        <w:rPr>
          <w:rFonts w:ascii="Times New Roman" w:hAnsi="Times New Roman" w:cs="Times New Roman"/>
          <w:b/>
          <w:sz w:val="24"/>
          <w:szCs w:val="24"/>
        </w:rPr>
        <w:t xml:space="preserve">Department: Accounting </w:t>
      </w:r>
    </w:p>
    <w:p w:rsidR="00431A27" w:rsidRDefault="00431A27" w:rsidP="00E6118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411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Assignment</w:t>
      </w:r>
    </w:p>
    <w:p w:rsidR="00CD4AF5" w:rsidRDefault="00CD4AF5" w:rsidP="00E611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the main governance aspects of the </w:t>
      </w:r>
      <w:r w:rsidR="000F3B8B">
        <w:rPr>
          <w:rFonts w:ascii="Times New Roman" w:hAnsi="Times New Roman" w:cs="Times New Roman"/>
          <w:b/>
          <w:sz w:val="24"/>
          <w:szCs w:val="24"/>
        </w:rPr>
        <w:t>Sarbanes-Oxley Act</w:t>
      </w:r>
      <w:r w:rsidR="005066C3">
        <w:rPr>
          <w:rFonts w:ascii="Times New Roman" w:hAnsi="Times New Roman" w:cs="Times New Roman"/>
          <w:b/>
          <w:sz w:val="24"/>
          <w:szCs w:val="24"/>
        </w:rPr>
        <w:t>. Give a summary</w:t>
      </w:r>
      <w:bookmarkStart w:id="0" w:name="_GoBack"/>
      <w:bookmarkEnd w:id="0"/>
    </w:p>
    <w:p w:rsidR="0043169B" w:rsidRDefault="00523978" w:rsidP="001E7F47">
      <w:pPr>
        <w:spacing w:before="240" w:line="48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 </w:t>
      </w:r>
      <w:r w:rsidR="0068116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Sarbanes Oxley act </w:t>
      </w:r>
      <w:r w:rsidR="00CC45A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was passed in July 2002 </w:t>
      </w:r>
      <w:r w:rsidR="00317E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in response to the rash </w:t>
      </w:r>
      <w:r w:rsidR="00B1255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of real and perceived failures </w:t>
      </w:r>
      <w:r w:rsidR="00107BD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in corporate governance and</w:t>
      </w:r>
      <w:r w:rsidR="00D75C6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perceived failures </w:t>
      </w:r>
      <w:r w:rsidR="00B35AB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in corporate governance </w:t>
      </w:r>
      <w:r w:rsidR="003F329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and financial disclosure</w:t>
      </w:r>
      <w:r w:rsidR="006350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.</w:t>
      </w:r>
    </w:p>
    <w:p w:rsidR="00EB072B" w:rsidRDefault="00EB072B" w:rsidP="001E7F47">
      <w:pPr>
        <w:spacing w:before="240" w:line="48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It’s primary emphases </w:t>
      </w:r>
      <w:r w:rsidR="00EA2D2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were to enhance</w:t>
      </w:r>
      <w:r w:rsidR="00905C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the quality and transparency of</w:t>
      </w:r>
      <w:r w:rsidR="00915A4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corporate disclosure and </w:t>
      </w:r>
      <w:r w:rsidR="006153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force changes </w:t>
      </w:r>
      <w:r w:rsidR="00312DF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in the auditing </w:t>
      </w:r>
      <w:r w:rsidR="00B273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of publicly traded companies</w:t>
      </w:r>
      <w:r w:rsidR="00062DB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. These objectives </w:t>
      </w:r>
      <w:r w:rsidR="005242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were achieved in a number of ways </w:t>
      </w:r>
      <w:r w:rsidR="00BC05A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by the passing</w:t>
      </w:r>
      <w:r w:rsidR="0094200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of the Sarbanes-Oxley Act</w:t>
      </w:r>
      <w:r w:rsidR="00EA2DA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.</w:t>
      </w:r>
    </w:p>
    <w:p w:rsidR="005345E6" w:rsidRDefault="005345E6" w:rsidP="001E7F47">
      <w:pPr>
        <w:spacing w:before="240" w:line="48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 </w:t>
      </w:r>
      <w:r w:rsidR="00CB333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SOX </w:t>
      </w:r>
      <w:r w:rsidR="002502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ACT </w:t>
      </w:r>
      <w:r w:rsidR="00CB333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increases </w:t>
      </w:r>
      <w:r w:rsidR="0042656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 direct </w:t>
      </w:r>
      <w:r w:rsidR="001D5C3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responsibility </w:t>
      </w:r>
      <w:r w:rsidR="00AB27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of senior </w:t>
      </w:r>
      <w:r w:rsidR="00191A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corporate </w:t>
      </w:r>
      <w:r w:rsidR="00DE65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managers for the </w:t>
      </w:r>
      <w:r w:rsidR="0047554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quality </w:t>
      </w:r>
      <w:r w:rsidR="008B0D0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of their</w:t>
      </w:r>
      <w:r w:rsidR="004E7DD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company's </w:t>
      </w:r>
      <w:r w:rsidR="00AD16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financial </w:t>
      </w:r>
      <w:r w:rsidR="004E229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reports </w:t>
      </w:r>
      <w:r w:rsidR="00D60A9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and disclosures</w:t>
      </w:r>
      <w:r w:rsidR="00494C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. </w:t>
      </w:r>
      <w:r w:rsidR="00546DA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 sarbanes-oxley </w:t>
      </w:r>
      <w:r w:rsidR="00BD586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act makes </w:t>
      </w:r>
      <w:r w:rsidR="002064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 audit </w:t>
      </w:r>
      <w:r w:rsidR="00217AC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committee </w:t>
      </w:r>
      <w:r w:rsidR="001925A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more independent </w:t>
      </w:r>
      <w:r w:rsidR="00CC141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of the company </w:t>
      </w:r>
      <w:r w:rsidR="002A61A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and increases </w:t>
      </w:r>
      <w:r w:rsidR="00831FD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it’s responsibilities regarding </w:t>
      </w:r>
      <w:r w:rsidR="00DA0C0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the company’s auditors</w:t>
      </w:r>
      <w:r w:rsidR="0016640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. </w:t>
      </w:r>
    </w:p>
    <w:p w:rsidR="007A53FE" w:rsidRDefault="007A53FE" w:rsidP="001E7F47">
      <w:pPr>
        <w:spacing w:before="240" w:line="48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There were </w:t>
      </w:r>
      <w:r w:rsidR="008A014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guidelines for the Sarbanes-Oxley Act</w:t>
      </w:r>
      <w:r w:rsidR="00D728A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Corporate Governance </w:t>
      </w:r>
    </w:p>
    <w:p w:rsidR="00AB7C3A" w:rsidRDefault="00CB65C6" w:rsidP="00AB7C3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An increase in the direct responsibility </w:t>
      </w:r>
      <w:r w:rsidR="005B689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of senior corporate managers for the </w:t>
      </w:r>
      <w:r w:rsidR="00EE0C6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quality of their </w:t>
      </w:r>
      <w:r w:rsidR="004C03D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company's financial reports and </w:t>
      </w:r>
      <w:r w:rsidR="00686A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disclosure</w:t>
      </w:r>
      <w:r w:rsidR="000639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.</w:t>
      </w:r>
    </w:p>
    <w:p w:rsidR="00686A47" w:rsidRDefault="00BD57A7" w:rsidP="00AB7C3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An increase in the </w:t>
      </w:r>
      <w:r w:rsidR="00F362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audit </w:t>
      </w:r>
      <w:r w:rsidR="009C2AE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committee's </w:t>
      </w:r>
      <w:r w:rsidR="007B3D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independence </w:t>
      </w:r>
      <w:r w:rsidR="0085434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from the company and its responsibilities </w:t>
      </w:r>
      <w:r w:rsidR="00B52E7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regarding the company's </w:t>
      </w:r>
      <w:r w:rsidR="000639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auditors.</w:t>
      </w:r>
    </w:p>
    <w:p w:rsidR="00063913" w:rsidRDefault="00CE5423" w:rsidP="00AB7C3A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Limitations on the types</w:t>
      </w:r>
      <w:r w:rsidR="009C486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and nature </w:t>
      </w:r>
      <w:r w:rsidR="005B2C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of services </w:t>
      </w:r>
      <w:r w:rsidR="003A2E3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that auditors can provide </w:t>
      </w:r>
      <w:r w:rsidR="00EA2A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to a publicly traded client</w:t>
      </w:r>
      <w:r w:rsidR="0062632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.</w:t>
      </w:r>
    </w:p>
    <w:p w:rsidR="000F5BA5" w:rsidRPr="005B54F6" w:rsidRDefault="00626328" w:rsidP="005B54F6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 w:rsidRPr="005B54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lastRenderedPageBreak/>
        <w:t xml:space="preserve">The creation of an independent board </w:t>
      </w:r>
      <w:r w:rsidR="00495CF5" w:rsidRPr="005B54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to oversee auditing </w:t>
      </w:r>
      <w:r w:rsidR="00304125" w:rsidRPr="005B54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practices </w:t>
      </w:r>
      <w:r w:rsidR="00F55B9F" w:rsidRPr="005B54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regarding </w:t>
      </w:r>
      <w:r w:rsidR="007921BA" w:rsidRPr="005B54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publicly traded companies.   </w:t>
      </w:r>
    </w:p>
    <w:p w:rsidR="00DD229F" w:rsidRDefault="00DD229F" w:rsidP="00CD45B6">
      <w:pPr>
        <w:spacing w:before="240" w:line="480" w:lineRule="auto"/>
        <w:ind w:left="360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While there </w:t>
      </w:r>
      <w:r w:rsidR="00C64A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was an initial </w:t>
      </w:r>
      <w:r w:rsidR="00651B0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corporate </w:t>
      </w:r>
      <w:r w:rsidR="0054499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outcry</w:t>
      </w:r>
      <w:r w:rsidR="00CD228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particularly </w:t>
      </w:r>
      <w:r w:rsidR="006573C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about the </w:t>
      </w:r>
      <w:r w:rsidR="0058555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expense of compliance </w:t>
      </w:r>
      <w:r w:rsidR="00902F5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which is proving valid</w:t>
      </w:r>
      <w:r w:rsidR="008C709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corporate </w:t>
      </w:r>
      <w:r w:rsidR="004C0D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attitudes generally </w:t>
      </w:r>
      <w:r w:rsidR="007519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have shifted</w:t>
      </w:r>
      <w:r w:rsidR="001939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. </w:t>
      </w:r>
      <w:r w:rsidR="00B4012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As corporations </w:t>
      </w:r>
      <w:r w:rsidR="00BA546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investigated and </w:t>
      </w:r>
      <w:r w:rsidR="008139A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implemented responses </w:t>
      </w:r>
      <w:r w:rsidR="00A7297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to the sarbo</w:t>
      </w:r>
      <w:r w:rsidR="006A71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x act</w:t>
      </w:r>
      <w:r w:rsidR="00B97A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</w:t>
      </w:r>
      <w:r w:rsidR="00253C3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they are recognising </w:t>
      </w:r>
      <w:r w:rsidR="000C16E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that compliance can result in improved </w:t>
      </w:r>
      <w:r w:rsidR="002B009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processes</w:t>
      </w:r>
      <w:r w:rsidR="005E4BF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both financial and </w:t>
      </w:r>
      <w:r w:rsidR="006826E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operational</w:t>
      </w:r>
      <w:r w:rsidR="006F139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</w:t>
      </w:r>
      <w:r w:rsidR="00E54CF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increased efficiency </w:t>
      </w:r>
      <w:r w:rsidR="00193A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better more and timely </w:t>
      </w:r>
      <w:r w:rsidR="007C0C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planning information </w:t>
      </w:r>
      <w:r w:rsidR="00FC7B4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and</w:t>
      </w:r>
      <w:r w:rsidR="0035160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that more </w:t>
      </w:r>
      <w:r w:rsidR="00D714B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transparency enhance </w:t>
      </w:r>
      <w:r w:rsidR="00F557D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access to capital </w:t>
      </w:r>
      <w:r w:rsidR="003D65E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and capital at lower cost.</w:t>
      </w:r>
    </w:p>
    <w:p w:rsidR="001621AA" w:rsidRDefault="00901CF0" w:rsidP="00CD45B6">
      <w:pPr>
        <w:spacing w:before="240" w:line="480" w:lineRule="auto"/>
        <w:ind w:left="360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One direct </w:t>
      </w:r>
      <w:r w:rsidR="00976F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responsibility of </w:t>
      </w:r>
      <w:r w:rsidR="00AC3B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 Sarbanes-Oxley Act </w:t>
      </w:r>
      <w:r w:rsidR="009C155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on corporate governance is </w:t>
      </w:r>
      <w:r w:rsidR="00E205E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 strengthening </w:t>
      </w:r>
      <w:r w:rsidR="0031671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of public companies</w:t>
      </w:r>
      <w:r w:rsidR="004A003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’ audit </w:t>
      </w:r>
      <w:r w:rsidR="00B4478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committee’s</w:t>
      </w:r>
      <w:r w:rsidR="009E1B2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. The audit committee </w:t>
      </w:r>
      <w:r w:rsidR="004D2C6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members must be independent </w:t>
      </w:r>
      <w:r w:rsidR="00F95A1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of management</w:t>
      </w:r>
      <w:r w:rsidR="009829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and gain </w:t>
      </w:r>
      <w:r w:rsidR="00EE742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new responsibilities </w:t>
      </w:r>
      <w:r w:rsidR="008925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such as </w:t>
      </w:r>
      <w:r w:rsidR="004509A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approving </w:t>
      </w:r>
      <w:r w:rsidR="00DC73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numerous audit </w:t>
      </w:r>
      <w:r w:rsidR="0062460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and non audit </w:t>
      </w:r>
      <w:r w:rsidR="00F454C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services, </w:t>
      </w:r>
      <w:r w:rsidR="00AC780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selecting and overseeing </w:t>
      </w:r>
      <w:r w:rsidR="00EF56B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external auditors</w:t>
      </w:r>
      <w:r w:rsidR="002F350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</w:t>
      </w:r>
      <w:r w:rsidR="00A05A1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and handling </w:t>
      </w:r>
      <w:r w:rsidR="001B131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complaints regarding the </w:t>
      </w:r>
      <w:r w:rsidR="00A159E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management's</w:t>
      </w:r>
      <w:r w:rsidR="008A1FC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accounting </w:t>
      </w:r>
      <w:r w:rsidR="00AA22A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practices. </w:t>
      </w:r>
      <w:r w:rsidR="005B54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</w:t>
      </w:r>
    </w:p>
    <w:p w:rsidR="005B54F6" w:rsidRDefault="00F445D5" w:rsidP="00E46333">
      <w:pPr>
        <w:spacing w:before="240" w:line="480" w:lineRule="auto"/>
        <w:ind w:left="360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It changes </w:t>
      </w:r>
      <w:r w:rsidR="00BF279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management's responsibilities </w:t>
      </w:r>
      <w:r w:rsidR="00E4633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for financial reporting significantly</w:t>
      </w:r>
      <w:r w:rsidR="009317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. </w:t>
      </w:r>
      <w:r w:rsidR="00950F9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The act</w:t>
      </w:r>
      <w:r w:rsidR="00C071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requires </w:t>
      </w:r>
      <w:r w:rsidR="00B05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that top managers </w:t>
      </w:r>
      <w:r w:rsidR="00782D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personally certify </w:t>
      </w:r>
      <w:r w:rsidR="00C6482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 accuracy </w:t>
      </w:r>
      <w:r w:rsidR="00CD183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of financial </w:t>
      </w:r>
      <w:r w:rsidR="00BB372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reports</w:t>
      </w:r>
      <w:r w:rsidR="005A5A3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. If a </w:t>
      </w:r>
      <w:r w:rsidR="008952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top manager </w:t>
      </w:r>
      <w:r w:rsidR="001032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knowingly </w:t>
      </w:r>
      <w:r w:rsidR="00492B1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or </w:t>
      </w:r>
      <w:r w:rsidR="00FA7C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willingly makes a false </w:t>
      </w:r>
      <w:r w:rsidR="006D4AF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certification he can face </w:t>
      </w:r>
      <w:r w:rsidR="00952AD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10-20 years in prison</w:t>
      </w:r>
      <w:r w:rsidR="003D5C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. If the company is forced to </w:t>
      </w:r>
      <w:r w:rsidR="00CD31F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make </w:t>
      </w:r>
      <w:r w:rsidR="0098685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 required accounting restatement </w:t>
      </w:r>
      <w:r w:rsidR="00B174C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due to management's </w:t>
      </w:r>
      <w:r w:rsidR="0099728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misconduct</w:t>
      </w:r>
      <w:r w:rsidR="0083744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top managers </w:t>
      </w:r>
      <w:r w:rsidR="00A0702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can be required to give up their bonuses </w:t>
      </w:r>
      <w:r w:rsidR="00E47AE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or profits made from selling</w:t>
      </w:r>
      <w:r w:rsidR="00412D8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the company's stock</w:t>
      </w:r>
      <w:r w:rsidR="00D6778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. If the director or officer </w:t>
      </w:r>
      <w:r w:rsidR="000C6C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is convicted </w:t>
      </w:r>
      <w:r w:rsidR="00C1693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of a securities law violation</w:t>
      </w:r>
      <w:r w:rsidR="009417F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he can be prohibited from serving </w:t>
      </w:r>
      <w:r w:rsidR="00B174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in the same role at the public company.</w:t>
      </w:r>
    </w:p>
    <w:p w:rsidR="00FE0D9B" w:rsidRPr="00DD229F" w:rsidRDefault="00FE0D9B" w:rsidP="00E46333">
      <w:pPr>
        <w:spacing w:before="240" w:line="480" w:lineRule="auto"/>
        <w:ind w:left="360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Finally the </w:t>
      </w:r>
      <w:r w:rsidR="00F71EA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Sarbanes-Oxley Act </w:t>
      </w:r>
      <w:r w:rsidR="007543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established </w:t>
      </w:r>
      <w:r w:rsidR="005940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the Public </w:t>
      </w:r>
      <w:r w:rsidR="001135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Company Accounting Oversight </w:t>
      </w:r>
      <w:r w:rsidR="0057106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Board, which </w:t>
      </w:r>
      <w:r w:rsidR="00C4193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promulgates </w:t>
      </w:r>
      <w:r w:rsidR="000E39E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standards for public accountants</w:t>
      </w:r>
      <w:r w:rsidR="003F187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, limits their </w:t>
      </w:r>
      <w:r w:rsidR="003F187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lastRenderedPageBreak/>
        <w:t xml:space="preserve">conflicts </w:t>
      </w:r>
      <w:r w:rsidR="00A1745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of interest </w:t>
      </w:r>
      <w:r w:rsidR="004A279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and requires lead audit partner </w:t>
      </w:r>
      <w:r w:rsidR="00AD52D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rotation every </w:t>
      </w:r>
      <w:r w:rsidR="00A25EB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five years for the same public company.</w:t>
      </w:r>
    </w:p>
    <w:p w:rsidR="000F5BA5" w:rsidRPr="000F5BA5" w:rsidRDefault="000F5BA5" w:rsidP="000F5BA5">
      <w:pPr>
        <w:spacing w:before="240" w:line="480" w:lineRule="auto"/>
        <w:ind w:left="360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</w:p>
    <w:p w:rsidR="007921BA" w:rsidRPr="007921BA" w:rsidRDefault="007921BA" w:rsidP="007921BA">
      <w:pPr>
        <w:spacing w:before="240" w:line="480" w:lineRule="auto"/>
        <w:ind w:left="360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          </w:t>
      </w:r>
    </w:p>
    <w:p w:rsidR="006E61D1" w:rsidRPr="00B11CBB" w:rsidRDefault="006E61D1" w:rsidP="001E7F47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sectPr w:rsidR="006E61D1" w:rsidRPr="00B11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32D"/>
    <w:multiLevelType w:val="hybridMultilevel"/>
    <w:tmpl w:val="2AB01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06"/>
    <w:rsid w:val="00003A1F"/>
    <w:rsid w:val="00062DB4"/>
    <w:rsid w:val="00063913"/>
    <w:rsid w:val="000B55E1"/>
    <w:rsid w:val="000C16E7"/>
    <w:rsid w:val="000C6C71"/>
    <w:rsid w:val="000E39E4"/>
    <w:rsid w:val="000F3B8B"/>
    <w:rsid w:val="000F5BA5"/>
    <w:rsid w:val="00103247"/>
    <w:rsid w:val="00107BDB"/>
    <w:rsid w:val="001135FC"/>
    <w:rsid w:val="00153ACD"/>
    <w:rsid w:val="001621AA"/>
    <w:rsid w:val="00166402"/>
    <w:rsid w:val="00191A9E"/>
    <w:rsid w:val="001925A8"/>
    <w:rsid w:val="001939DC"/>
    <w:rsid w:val="00193A36"/>
    <w:rsid w:val="001B1317"/>
    <w:rsid w:val="001D5C3F"/>
    <w:rsid w:val="001E7F47"/>
    <w:rsid w:val="0020640E"/>
    <w:rsid w:val="00217AC9"/>
    <w:rsid w:val="00250217"/>
    <w:rsid w:val="00253C35"/>
    <w:rsid w:val="00293FC9"/>
    <w:rsid w:val="002A61AE"/>
    <w:rsid w:val="002B0096"/>
    <w:rsid w:val="002F3501"/>
    <w:rsid w:val="00304125"/>
    <w:rsid w:val="00312DF4"/>
    <w:rsid w:val="00316713"/>
    <w:rsid w:val="00317EB5"/>
    <w:rsid w:val="0035160B"/>
    <w:rsid w:val="003A2E38"/>
    <w:rsid w:val="003D5CAC"/>
    <w:rsid w:val="003D65E6"/>
    <w:rsid w:val="003D72AB"/>
    <w:rsid w:val="003F1877"/>
    <w:rsid w:val="003F3293"/>
    <w:rsid w:val="0040672C"/>
    <w:rsid w:val="00412D8A"/>
    <w:rsid w:val="0042656E"/>
    <w:rsid w:val="0043169B"/>
    <w:rsid w:val="00431A27"/>
    <w:rsid w:val="0044112B"/>
    <w:rsid w:val="004509A1"/>
    <w:rsid w:val="0047554C"/>
    <w:rsid w:val="00492B1E"/>
    <w:rsid w:val="00494CF6"/>
    <w:rsid w:val="00495CF5"/>
    <w:rsid w:val="004A003E"/>
    <w:rsid w:val="004A279F"/>
    <w:rsid w:val="004C03DB"/>
    <w:rsid w:val="004C0DAB"/>
    <w:rsid w:val="004D2C6D"/>
    <w:rsid w:val="004E229D"/>
    <w:rsid w:val="004E7DD5"/>
    <w:rsid w:val="005066C3"/>
    <w:rsid w:val="00523978"/>
    <w:rsid w:val="005242F9"/>
    <w:rsid w:val="005345E6"/>
    <w:rsid w:val="0054499E"/>
    <w:rsid w:val="00546DA9"/>
    <w:rsid w:val="0057106D"/>
    <w:rsid w:val="0057224E"/>
    <w:rsid w:val="0058555A"/>
    <w:rsid w:val="00591913"/>
    <w:rsid w:val="005940CB"/>
    <w:rsid w:val="005A5A3A"/>
    <w:rsid w:val="005B2CAB"/>
    <w:rsid w:val="005B54F6"/>
    <w:rsid w:val="005B689C"/>
    <w:rsid w:val="005E4BF3"/>
    <w:rsid w:val="00615355"/>
    <w:rsid w:val="00624606"/>
    <w:rsid w:val="00626328"/>
    <w:rsid w:val="0063506F"/>
    <w:rsid w:val="00643706"/>
    <w:rsid w:val="00651B0F"/>
    <w:rsid w:val="0065522B"/>
    <w:rsid w:val="006573CC"/>
    <w:rsid w:val="00681164"/>
    <w:rsid w:val="006826E3"/>
    <w:rsid w:val="00686A47"/>
    <w:rsid w:val="006A71E9"/>
    <w:rsid w:val="006D256F"/>
    <w:rsid w:val="006D4AFB"/>
    <w:rsid w:val="006E61D1"/>
    <w:rsid w:val="006F1394"/>
    <w:rsid w:val="0075192D"/>
    <w:rsid w:val="0075438B"/>
    <w:rsid w:val="00782DD7"/>
    <w:rsid w:val="007921BA"/>
    <w:rsid w:val="007A53FE"/>
    <w:rsid w:val="007B3D3D"/>
    <w:rsid w:val="007C0CE0"/>
    <w:rsid w:val="00801387"/>
    <w:rsid w:val="008139AD"/>
    <w:rsid w:val="00821E24"/>
    <w:rsid w:val="00831FDF"/>
    <w:rsid w:val="00837447"/>
    <w:rsid w:val="00854346"/>
    <w:rsid w:val="00892555"/>
    <w:rsid w:val="00895271"/>
    <w:rsid w:val="008A0144"/>
    <w:rsid w:val="008A1FCD"/>
    <w:rsid w:val="008B0D03"/>
    <w:rsid w:val="008C7097"/>
    <w:rsid w:val="00901CF0"/>
    <w:rsid w:val="00902F59"/>
    <w:rsid w:val="00905CD7"/>
    <w:rsid w:val="00907446"/>
    <w:rsid w:val="00915A45"/>
    <w:rsid w:val="009317C7"/>
    <w:rsid w:val="009417F2"/>
    <w:rsid w:val="00942008"/>
    <w:rsid w:val="00950F98"/>
    <w:rsid w:val="00952AD1"/>
    <w:rsid w:val="00970B1E"/>
    <w:rsid w:val="00976F7A"/>
    <w:rsid w:val="009829B5"/>
    <w:rsid w:val="00982C79"/>
    <w:rsid w:val="0098685A"/>
    <w:rsid w:val="00997287"/>
    <w:rsid w:val="009C1557"/>
    <w:rsid w:val="009C2AE2"/>
    <w:rsid w:val="009C4866"/>
    <w:rsid w:val="009D0F37"/>
    <w:rsid w:val="009E1B29"/>
    <w:rsid w:val="00A05A1A"/>
    <w:rsid w:val="00A07020"/>
    <w:rsid w:val="00A159E0"/>
    <w:rsid w:val="00A17453"/>
    <w:rsid w:val="00A25EB0"/>
    <w:rsid w:val="00A4339E"/>
    <w:rsid w:val="00A560F5"/>
    <w:rsid w:val="00A72979"/>
    <w:rsid w:val="00A76A12"/>
    <w:rsid w:val="00AA22AD"/>
    <w:rsid w:val="00AB2728"/>
    <w:rsid w:val="00AB7C3A"/>
    <w:rsid w:val="00AC3B47"/>
    <w:rsid w:val="00AC780E"/>
    <w:rsid w:val="00AD169E"/>
    <w:rsid w:val="00AD52D6"/>
    <w:rsid w:val="00AE6CC1"/>
    <w:rsid w:val="00B055B5"/>
    <w:rsid w:val="00B11CBB"/>
    <w:rsid w:val="00B1255E"/>
    <w:rsid w:val="00B17409"/>
    <w:rsid w:val="00B174CA"/>
    <w:rsid w:val="00B273F8"/>
    <w:rsid w:val="00B35AB6"/>
    <w:rsid w:val="00B40121"/>
    <w:rsid w:val="00B44789"/>
    <w:rsid w:val="00B52E7C"/>
    <w:rsid w:val="00B67886"/>
    <w:rsid w:val="00B77949"/>
    <w:rsid w:val="00B95D79"/>
    <w:rsid w:val="00B97ADC"/>
    <w:rsid w:val="00BA546F"/>
    <w:rsid w:val="00BB372D"/>
    <w:rsid w:val="00BC05A6"/>
    <w:rsid w:val="00BD57A7"/>
    <w:rsid w:val="00BD586D"/>
    <w:rsid w:val="00BF279A"/>
    <w:rsid w:val="00C071AC"/>
    <w:rsid w:val="00C1293C"/>
    <w:rsid w:val="00C1693E"/>
    <w:rsid w:val="00C41939"/>
    <w:rsid w:val="00C434EC"/>
    <w:rsid w:val="00C60CFD"/>
    <w:rsid w:val="00C64821"/>
    <w:rsid w:val="00C64A6F"/>
    <w:rsid w:val="00CA75C9"/>
    <w:rsid w:val="00CB333B"/>
    <w:rsid w:val="00CB65C6"/>
    <w:rsid w:val="00CC141F"/>
    <w:rsid w:val="00CC45AE"/>
    <w:rsid w:val="00CD183D"/>
    <w:rsid w:val="00CD2285"/>
    <w:rsid w:val="00CD31F7"/>
    <w:rsid w:val="00CD45B6"/>
    <w:rsid w:val="00CD4AF5"/>
    <w:rsid w:val="00CE5423"/>
    <w:rsid w:val="00D60A95"/>
    <w:rsid w:val="00D6778F"/>
    <w:rsid w:val="00D714BA"/>
    <w:rsid w:val="00D728A0"/>
    <w:rsid w:val="00D75C63"/>
    <w:rsid w:val="00DA0C07"/>
    <w:rsid w:val="00DC73DE"/>
    <w:rsid w:val="00DD229F"/>
    <w:rsid w:val="00DE659B"/>
    <w:rsid w:val="00E205E3"/>
    <w:rsid w:val="00E46333"/>
    <w:rsid w:val="00E47AE9"/>
    <w:rsid w:val="00E54CF4"/>
    <w:rsid w:val="00E61185"/>
    <w:rsid w:val="00EA2A9F"/>
    <w:rsid w:val="00EA2D2F"/>
    <w:rsid w:val="00EA2DAD"/>
    <w:rsid w:val="00EB072B"/>
    <w:rsid w:val="00EE0C6C"/>
    <w:rsid w:val="00EE7425"/>
    <w:rsid w:val="00EF56BC"/>
    <w:rsid w:val="00F36294"/>
    <w:rsid w:val="00F445D5"/>
    <w:rsid w:val="00F454CE"/>
    <w:rsid w:val="00F557D9"/>
    <w:rsid w:val="00F55B9F"/>
    <w:rsid w:val="00F71EAE"/>
    <w:rsid w:val="00F86EC7"/>
    <w:rsid w:val="00F95A14"/>
    <w:rsid w:val="00FA7C34"/>
    <w:rsid w:val="00FC7B45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6CE31"/>
  <w15:chartTrackingRefBased/>
  <w15:docId w15:val="{6184E965-0CAF-054A-952A-C17A4C70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 olumide</dc:creator>
  <cp:keywords/>
  <dc:description/>
  <cp:lastModifiedBy>Kolawole olumide</cp:lastModifiedBy>
  <cp:revision>2</cp:revision>
  <dcterms:created xsi:type="dcterms:W3CDTF">2018-10-14T10:45:00Z</dcterms:created>
  <dcterms:modified xsi:type="dcterms:W3CDTF">2018-10-14T10:45:00Z</dcterms:modified>
</cp:coreProperties>
</file>