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6D" w:rsidRDefault="0088523B" w:rsidP="00F8316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proofErr w:type="spellStart"/>
      <w:r>
        <w:rPr>
          <w:rFonts w:ascii="Times New Roman" w:hAnsi="Times New Roman"/>
          <w:sz w:val="24"/>
          <w:szCs w:val="24"/>
        </w:rPr>
        <w:t>Adejumo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Oluwatimilehin</w:t>
      </w:r>
      <w:proofErr w:type="spellEnd"/>
      <w:r w:rsidR="00F8316D">
        <w:rPr>
          <w:rFonts w:ascii="Times New Roman" w:hAnsi="Times New Roman"/>
          <w:sz w:val="24"/>
          <w:szCs w:val="24"/>
        </w:rPr>
        <w:t xml:space="preserve"> </w:t>
      </w:r>
    </w:p>
    <w:p w:rsidR="0088523B" w:rsidRDefault="0088523B" w:rsidP="00F8316D">
      <w:pPr>
        <w:spacing w:line="480" w:lineRule="auto"/>
      </w:pPr>
      <w:r>
        <w:t>Department :</w:t>
      </w:r>
      <w:r w:rsidR="00F8316D">
        <w:t xml:space="preserve"> Accounting</w:t>
      </w:r>
    </w:p>
    <w:p w:rsidR="00025DF2" w:rsidRDefault="00025DF2" w:rsidP="00025DF2">
      <w:pPr>
        <w:spacing w:after="0" w:line="240" w:lineRule="auto"/>
        <w:rPr>
          <w:sz w:val="20"/>
          <w:szCs w:val="20"/>
        </w:rPr>
      </w:pPr>
      <w:r>
        <w:t>Matric no: 17/sms02/003</w:t>
      </w:r>
    </w:p>
    <w:p w:rsidR="00025DF2" w:rsidRPr="00025DF2" w:rsidRDefault="00025DF2" w:rsidP="00025DF2">
      <w:pPr>
        <w:spacing w:after="0" w:line="240" w:lineRule="auto"/>
        <w:rPr>
          <w:lang w:val="en-US" w:eastAsia="zh-CN"/>
        </w:rPr>
      </w:pPr>
    </w:p>
    <w:p w:rsidR="00F8316D" w:rsidRPr="0020309E" w:rsidRDefault="00DD24BE" w:rsidP="00F8316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en-US" w:eastAsia="zh-CN"/>
        </w:rPr>
      </w:pPr>
      <w:r>
        <w:rPr>
          <w:lang w:val="en-US" w:eastAsia="zh-CN"/>
        </w:rPr>
        <w:t xml:space="preserve">                                                                  </w:t>
      </w:r>
      <w:r w:rsidRPr="0020309E">
        <w:rPr>
          <w:rFonts w:ascii="Times New Roman" w:hAnsi="Times New Roman"/>
          <w:sz w:val="28"/>
          <w:szCs w:val="28"/>
          <w:u w:val="single"/>
          <w:lang w:val="en-US" w:eastAsia="zh-CN"/>
        </w:rPr>
        <w:t>SARBANES-OXLEY ACT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Accounting Oversight Board &amp; Increased Corporate Responsibility- The Sarbanes-Oxley Act (“the Act”) was passed in July 2002 in response to the rash of real and perceived failures in corporate governance and financial disclosure. The Sarbanes-Oxley Act , al</w:t>
      </w:r>
      <w:r w:rsidRPr="00175D3C">
        <w:rPr>
          <w:rFonts w:ascii="Times New Roman" w:hAnsi="Times New Roman"/>
          <w:sz w:val="24"/>
          <w:szCs w:val="24"/>
        </w:rPr>
        <w:t xml:space="preserve">so known as </w:t>
      </w:r>
      <w:proofErr w:type="spellStart"/>
      <w:r w:rsidRPr="00175D3C">
        <w:rPr>
          <w:rFonts w:ascii="Times New Roman" w:hAnsi="Times New Roman"/>
          <w:sz w:val="24"/>
          <w:szCs w:val="24"/>
        </w:rPr>
        <w:t>Sarbox</w:t>
      </w:r>
      <w:proofErr w:type="spellEnd"/>
      <w:r w:rsidRPr="00175D3C">
        <w:rPr>
          <w:rFonts w:ascii="Times New Roman" w:hAnsi="Times New Roman"/>
          <w:sz w:val="24"/>
          <w:szCs w:val="24"/>
        </w:rPr>
        <w:t xml:space="preserve"> or SOX, was passed in July 2002 in response to the rash of real and perceived failures in corporate governance and financial disclosure.</w:t>
      </w:r>
      <w:r w:rsidR="002043F3" w:rsidRPr="00175D3C">
        <w:rPr>
          <w:rFonts w:ascii="Times New Roman" w:hAnsi="Times New Roman"/>
          <w:sz w:val="24"/>
          <w:szCs w:val="24"/>
        </w:rPr>
        <w:t xml:space="preserve"> </w:t>
      </w:r>
      <w:r w:rsidRPr="00175D3C">
        <w:rPr>
          <w:rFonts w:ascii="Times New Roman" w:hAnsi="Times New Roman"/>
          <w:sz w:val="24"/>
          <w:szCs w:val="24"/>
        </w:rPr>
        <w:t>Its primary emphases were to enhance the quality and transparency of corporate disclosure and force c</w:t>
      </w:r>
      <w:r w:rsidRPr="00175D3C">
        <w:rPr>
          <w:rFonts w:ascii="Times New Roman" w:hAnsi="Times New Roman"/>
          <w:sz w:val="24"/>
          <w:szCs w:val="24"/>
        </w:rPr>
        <w:t xml:space="preserve">hanges in the auditing of publicly traded companies. These objectives were achieved in a number of ways by the passing of the Sarbanes-Oxley Act. 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SOX corporate governance guidelines include: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• An increase in the direct responsibility of senior corporate</w:t>
      </w:r>
      <w:r w:rsidRPr="00175D3C">
        <w:rPr>
          <w:rFonts w:ascii="Times New Roman" w:hAnsi="Times New Roman"/>
          <w:sz w:val="24"/>
          <w:szCs w:val="24"/>
        </w:rPr>
        <w:t xml:space="preserve"> managers for the quality of their company’s financial reports and disclosures.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• An increase in the audit committee’s independence from the company and its responsibility regarding the company’s auditors.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 xml:space="preserve">• Limitations on the types and nature of services </w:t>
      </w:r>
      <w:r w:rsidRPr="00175D3C">
        <w:rPr>
          <w:rFonts w:ascii="Times New Roman" w:hAnsi="Times New Roman"/>
          <w:sz w:val="24"/>
          <w:szCs w:val="24"/>
        </w:rPr>
        <w:t>that auditors can provide to a publicly traded, audit client.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lastRenderedPageBreak/>
        <w:t>• The creation of an independent Board to oversee auditing practices regarding publicly traded companies.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While there was an initial corporate outcry, particularly about the expense of complian</w:t>
      </w:r>
      <w:r w:rsidRPr="00175D3C">
        <w:rPr>
          <w:rFonts w:ascii="Times New Roman" w:hAnsi="Times New Roman"/>
          <w:sz w:val="24"/>
          <w:szCs w:val="24"/>
        </w:rPr>
        <w:t xml:space="preserve">ce which is proving valid, corporate attitudes generally have shifted. As corporations investigated and implemented responses to the </w:t>
      </w:r>
      <w:proofErr w:type="spellStart"/>
      <w:r w:rsidRPr="00175D3C">
        <w:rPr>
          <w:rFonts w:ascii="Times New Roman" w:hAnsi="Times New Roman"/>
          <w:sz w:val="24"/>
          <w:szCs w:val="24"/>
        </w:rPr>
        <w:t>Sarbox</w:t>
      </w:r>
      <w:proofErr w:type="spellEnd"/>
      <w:r w:rsidRPr="00175D3C">
        <w:rPr>
          <w:rFonts w:ascii="Times New Roman" w:hAnsi="Times New Roman"/>
          <w:sz w:val="24"/>
          <w:szCs w:val="24"/>
        </w:rPr>
        <w:t xml:space="preserve"> Act, they are recognizing that compliance can result in improved processes, both financial and operational, increase</w:t>
      </w:r>
      <w:r w:rsidRPr="00175D3C">
        <w:rPr>
          <w:rFonts w:ascii="Times New Roman" w:hAnsi="Times New Roman"/>
          <w:sz w:val="24"/>
          <w:szCs w:val="24"/>
        </w:rPr>
        <w:t>d efficiency better and more timely planning information and that more transparency enhance access to capital and capital at lower cost.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 xml:space="preserve">A Brief Sarbanes-Oxley Act Overview 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The following is intended as brief overview of the Sarbanes-Oxley Act and not as</w:t>
      </w:r>
      <w:r w:rsidRPr="00175D3C">
        <w:rPr>
          <w:rFonts w:ascii="Times New Roman" w:hAnsi="Times New Roman"/>
          <w:sz w:val="24"/>
          <w:szCs w:val="24"/>
        </w:rPr>
        <w:t xml:space="preserve"> a detailed summary or commentary on the Act or its intentions. Specifically, the items selected are intended for consideration by those involved with and responsible for a public company’s internal governance and generally ignore the Sox’s efforts at limi</w:t>
      </w:r>
      <w:r w:rsidRPr="00175D3C">
        <w:rPr>
          <w:rFonts w:ascii="Times New Roman" w:hAnsi="Times New Roman"/>
          <w:sz w:val="24"/>
          <w:szCs w:val="24"/>
        </w:rPr>
        <w:t>ting the actions of analysts and investment bankers.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The SOX Act increases the direct responsibility of senor corporate managers for the quality of their company's financial reports and disclosures.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lastRenderedPageBreak/>
        <w:t>Among other things, the Sarbanes-Oxley Act: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1. Require</w:t>
      </w:r>
      <w:r w:rsidRPr="00175D3C">
        <w:rPr>
          <w:rFonts w:ascii="Times New Roman" w:hAnsi="Times New Roman"/>
          <w:sz w:val="24"/>
          <w:szCs w:val="24"/>
        </w:rPr>
        <w:t xml:space="preserve">s the Chief Executive Officer and the Chief Financial Officer to certify that the company’s financials fairly present the company’s financial condition. 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2. Requires forfeiture and return to the company of any bonus, stock or option compensation received i</w:t>
      </w:r>
      <w:r w:rsidRPr="00175D3C">
        <w:rPr>
          <w:rFonts w:ascii="Times New Roman" w:hAnsi="Times New Roman"/>
          <w:sz w:val="24"/>
          <w:szCs w:val="24"/>
        </w:rPr>
        <w:t>n the twelve months following a misleading financial statement that subsequently results in a restatement.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3. Requires accelerated reporting by insiders – such transactions must now be reported by the second day following the transaction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4. Requires the co</w:t>
      </w:r>
      <w:r w:rsidRPr="00175D3C">
        <w:rPr>
          <w:rFonts w:ascii="Times New Roman" w:hAnsi="Times New Roman"/>
          <w:sz w:val="24"/>
          <w:szCs w:val="24"/>
        </w:rPr>
        <w:t>mpany to report all off-balance sheet transactions.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5. Requires that if the financials contain any pro forma disclosures they must be more straight-forward.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 xml:space="preserve">6. Requires that all annual reports filed with the SEC include a statement by management asserting </w:t>
      </w:r>
      <w:r w:rsidRPr="00175D3C">
        <w:rPr>
          <w:rFonts w:ascii="Times New Roman" w:hAnsi="Times New Roman"/>
          <w:sz w:val="24"/>
          <w:szCs w:val="24"/>
        </w:rPr>
        <w:t xml:space="preserve">that it is responsible for creating and maintaining adequate internal controls and assessing the effectiveness of these controls. 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7. Requires a statement as to whether or not the company has adopted an ethics code for senior financial officers and if not,</w:t>
      </w:r>
      <w:r w:rsidRPr="00175D3C">
        <w:rPr>
          <w:rFonts w:ascii="Times New Roman" w:hAnsi="Times New Roman"/>
          <w:sz w:val="24"/>
          <w:szCs w:val="24"/>
        </w:rPr>
        <w:t xml:space="preserve"> why not. 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8. Precludes corporate loans to officers and / or directors.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9. Requires that an attorney who is aware of a material violation of the law must report it to the senior attorney or the company’s Chief Executive Officer. If the person on notice doe</w:t>
      </w:r>
      <w:r w:rsidRPr="00175D3C">
        <w:rPr>
          <w:rFonts w:ascii="Times New Roman" w:hAnsi="Times New Roman"/>
          <w:sz w:val="24"/>
          <w:szCs w:val="24"/>
        </w:rPr>
        <w:t xml:space="preserve">s not move </w:t>
      </w:r>
      <w:r w:rsidRPr="00175D3C">
        <w:rPr>
          <w:rFonts w:ascii="Times New Roman" w:hAnsi="Times New Roman"/>
          <w:sz w:val="24"/>
          <w:szCs w:val="24"/>
        </w:rPr>
        <w:lastRenderedPageBreak/>
        <w:t xml:space="preserve">to fix the violation, the attorney must report his findings to the audit committee or the board of directors. 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 xml:space="preserve">10. Establishes a new federal crime for securities fraud, the Corporate and Criminal Fraud Accountability Act of 2002, which includes </w:t>
      </w:r>
      <w:r w:rsidRPr="00175D3C">
        <w:rPr>
          <w:rFonts w:ascii="Times New Roman" w:hAnsi="Times New Roman"/>
          <w:sz w:val="24"/>
          <w:szCs w:val="24"/>
        </w:rPr>
        <w:t xml:space="preserve">a lengthy prison term upon </w:t>
      </w:r>
      <w:proofErr w:type="spellStart"/>
      <w:r w:rsidRPr="00175D3C">
        <w:rPr>
          <w:rFonts w:ascii="Times New Roman" w:hAnsi="Times New Roman"/>
          <w:sz w:val="24"/>
          <w:szCs w:val="24"/>
        </w:rPr>
        <w:t>conviction.The</w:t>
      </w:r>
      <w:proofErr w:type="spellEnd"/>
      <w:r w:rsidRPr="00175D3C">
        <w:rPr>
          <w:rFonts w:ascii="Times New Roman" w:hAnsi="Times New Roman"/>
          <w:sz w:val="24"/>
          <w:szCs w:val="24"/>
        </w:rPr>
        <w:t xml:space="preserve"> Sarbanes-Oxley Act makes the audit committee more independent of the company ad increases its responsibility regarding the company's auditors.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Among other things, the Act: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1. Requires that all audit committee mem</w:t>
      </w:r>
      <w:r w:rsidRPr="00175D3C">
        <w:rPr>
          <w:rFonts w:ascii="Times New Roman" w:hAnsi="Times New Roman"/>
          <w:sz w:val="24"/>
          <w:szCs w:val="24"/>
        </w:rPr>
        <w:t>bers must be independent directors and not affiliated with the company other than in their capacity as directors.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2. Makes the audit committee directly responsible for the appointment, compensation and oversight of the work of the auditors.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3. Requires tha</w:t>
      </w:r>
      <w:r w:rsidRPr="00175D3C">
        <w:rPr>
          <w:rFonts w:ascii="Times New Roman" w:hAnsi="Times New Roman"/>
          <w:sz w:val="24"/>
          <w:szCs w:val="24"/>
        </w:rPr>
        <w:t>t audit committee members must have free reign to interview and question auditors without the company’s executive officers being present.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4. Requires that the audit committee develop procedures for addressing complaints regarding the audit process.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5. Requ</w:t>
      </w:r>
      <w:r w:rsidRPr="00175D3C">
        <w:rPr>
          <w:rFonts w:ascii="Times New Roman" w:hAnsi="Times New Roman"/>
          <w:sz w:val="24"/>
          <w:szCs w:val="24"/>
        </w:rPr>
        <w:t>ires that the audit committee include at least one competent financial person.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6. Bars members of the audit committee from accepting consulting fees from the Company.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lastRenderedPageBreak/>
        <w:t>The Sarbanes-Oxley Act limits the types and nature of services that auditors can provide</w:t>
      </w:r>
      <w:r w:rsidRPr="00175D3C">
        <w:rPr>
          <w:rFonts w:ascii="Times New Roman" w:hAnsi="Times New Roman"/>
          <w:sz w:val="24"/>
          <w:szCs w:val="24"/>
        </w:rPr>
        <w:t xml:space="preserve"> to a publically traded, audit client.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Among other things, the Act: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1. Precludes an audit firm providing the following non-audit services to a publicly traded client contemporaneously with the audit including: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a. Bookkeeping or other services related to</w:t>
      </w:r>
      <w:r w:rsidRPr="00175D3C">
        <w:rPr>
          <w:rFonts w:ascii="Times New Roman" w:hAnsi="Times New Roman"/>
          <w:sz w:val="24"/>
          <w:szCs w:val="24"/>
        </w:rPr>
        <w:t xml:space="preserve"> the accounting records or financial statements of the audit client;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b. Design or implementation of the financial information systems;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c. Appraisal or valuation services, fairness opinions or contributions in kind;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d. Actuarial services;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 xml:space="preserve">e. Internal audit </w:t>
      </w:r>
      <w:r w:rsidRPr="00175D3C">
        <w:rPr>
          <w:rFonts w:ascii="Times New Roman" w:hAnsi="Times New Roman"/>
          <w:sz w:val="24"/>
          <w:szCs w:val="24"/>
        </w:rPr>
        <w:t>outsourcing services;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f. Management functions or human resources;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g. Broker dealer, investment advisor or investment banking services;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h. Legal services and expert services unrelated to the audit;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75D3C">
        <w:rPr>
          <w:rFonts w:ascii="Times New Roman" w:hAnsi="Times New Roman"/>
          <w:sz w:val="24"/>
          <w:szCs w:val="24"/>
        </w:rPr>
        <w:t>i</w:t>
      </w:r>
      <w:proofErr w:type="spellEnd"/>
      <w:r w:rsidRPr="00175D3C">
        <w:rPr>
          <w:rFonts w:ascii="Times New Roman" w:hAnsi="Times New Roman"/>
          <w:sz w:val="24"/>
          <w:szCs w:val="24"/>
        </w:rPr>
        <w:t>. Any other service that the Board determines by regulatio</w:t>
      </w:r>
      <w:r w:rsidRPr="00175D3C">
        <w:rPr>
          <w:rFonts w:ascii="Times New Roman" w:hAnsi="Times New Roman"/>
          <w:sz w:val="24"/>
          <w:szCs w:val="24"/>
        </w:rPr>
        <w:t>n is impermissible.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lastRenderedPageBreak/>
        <w:t>2. If a service offered by the auditors to the company is not on the list then the auditors must seek pre-approval of the audit committee.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3. Requires that the coordinating partner and reviewing partner must rotate at least every five</w:t>
      </w:r>
      <w:r w:rsidRPr="00175D3C">
        <w:rPr>
          <w:rFonts w:ascii="Times New Roman" w:hAnsi="Times New Roman"/>
          <w:sz w:val="24"/>
          <w:szCs w:val="24"/>
        </w:rPr>
        <w:t xml:space="preserve"> years.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4. Requires the auditors to discuss with the audit committee: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a. any and all specific accounting disputes that it may have with management;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b. all critical accounting practices or policies being implemented or changed;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c. all alternative treatmen</w:t>
      </w:r>
      <w:r w:rsidRPr="00175D3C">
        <w:rPr>
          <w:rFonts w:ascii="Times New Roman" w:hAnsi="Times New Roman"/>
          <w:sz w:val="24"/>
          <w:szCs w:val="24"/>
        </w:rPr>
        <w:t>ts of financial information within GAAP that have been discussed with management.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5. Precludes an audit firm approaching or taking as a client a public company that has hired as the CEO, CFO, Controller or chief accounting officer, or person in an equival</w:t>
      </w:r>
      <w:r w:rsidRPr="00175D3C">
        <w:rPr>
          <w:rFonts w:ascii="Times New Roman" w:hAnsi="Times New Roman"/>
          <w:sz w:val="24"/>
          <w:szCs w:val="24"/>
        </w:rPr>
        <w:t>ent position who left the audit firm within one year preceding the audit.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The Sarbanes-Oxley Act creates and independent board to oversee auditing practices regarding publically traded companies.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 xml:space="preserve">Among other things, this new Board, The Public Accounting </w:t>
      </w:r>
      <w:r w:rsidRPr="00175D3C">
        <w:rPr>
          <w:rFonts w:ascii="Times New Roman" w:hAnsi="Times New Roman"/>
          <w:sz w:val="24"/>
          <w:szCs w:val="24"/>
        </w:rPr>
        <w:t>Oversight Board, will: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1. Be responsible to the SEC.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2. Have supervisory powers over the audit process of publicly traded companies. Thus it is not intended to conflict with state regulation and supervision of accountants serving private clients.</w:t>
      </w:r>
    </w:p>
    <w:p w:rsidR="00000000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3. Be ma</w:t>
      </w:r>
      <w:r w:rsidRPr="00175D3C">
        <w:rPr>
          <w:rFonts w:ascii="Times New Roman" w:hAnsi="Times New Roman"/>
          <w:sz w:val="24"/>
          <w:szCs w:val="24"/>
        </w:rPr>
        <w:t>de up of five persons each appointed for a five year term by _________ .Two of whom will be CPAs and three of whom cannot be CPAs</w:t>
      </w:r>
    </w:p>
    <w:p w:rsidR="00A530BA" w:rsidRPr="00175D3C" w:rsidRDefault="00175D3C" w:rsidP="001D482C">
      <w:pPr>
        <w:spacing w:line="480" w:lineRule="auto"/>
        <w:rPr>
          <w:rFonts w:ascii="Times New Roman" w:hAnsi="Times New Roman"/>
          <w:sz w:val="24"/>
          <w:szCs w:val="24"/>
        </w:rPr>
      </w:pPr>
      <w:r w:rsidRPr="00175D3C">
        <w:rPr>
          <w:rFonts w:ascii="Times New Roman" w:hAnsi="Times New Roman"/>
          <w:sz w:val="24"/>
          <w:szCs w:val="24"/>
        </w:rPr>
        <w:t>4. Be funded by fees from all publicly traded companies thus better assuring its independence from the accounting industry.</w:t>
      </w:r>
      <w:bookmarkStart w:id="0" w:name="_GoBack"/>
      <w:bookmarkEnd w:id="0"/>
    </w:p>
    <w:sectPr w:rsidR="00A530BA" w:rsidRPr="0017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5DF2"/>
    <w:rsid w:val="00175D3C"/>
    <w:rsid w:val="001D482C"/>
    <w:rsid w:val="0020309E"/>
    <w:rsid w:val="002043F3"/>
    <w:rsid w:val="00790747"/>
    <w:rsid w:val="007C2AB1"/>
    <w:rsid w:val="0088523B"/>
    <w:rsid w:val="00A530BA"/>
    <w:rsid w:val="00DD24BE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F83A0"/>
  <w14:defaultImageDpi w14:val="0"/>
  <w15:chartTrackingRefBased/>
  <w15:docId w15:val="{24EE95D6-CDFB-8A4C-8A53-A8021FC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Infinix X559C</dc:creator>
  <cp:keywords/>
  <cp:lastModifiedBy>Kolawole olumide</cp:lastModifiedBy>
  <cp:revision>11</cp:revision>
  <dcterms:created xsi:type="dcterms:W3CDTF">2018-10-14T15:09:00Z</dcterms:created>
  <dcterms:modified xsi:type="dcterms:W3CDTF">2018-10-14T15:16:00Z</dcterms:modified>
</cp:coreProperties>
</file>