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57" w:rsidRDefault="00E975FD" w:rsidP="0015260D">
      <w:pPr>
        <w:spacing w:line="480" w:lineRule="auto"/>
        <w:jc w:val="both"/>
        <w:rPr>
          <w:rFonts w:ascii="Times New Roman" w:hAnsi="Times New Roman" w:cs="Times New Roman"/>
          <w:b/>
          <w:sz w:val="24"/>
          <w:szCs w:val="24"/>
          <w:u w:val="single"/>
        </w:rPr>
      </w:pPr>
      <w:r w:rsidRPr="008019D1">
        <w:rPr>
          <w:rFonts w:ascii="Times New Roman" w:hAnsi="Times New Roman" w:cs="Times New Roman"/>
          <w:b/>
          <w:sz w:val="24"/>
          <w:szCs w:val="24"/>
          <w:u w:val="single"/>
        </w:rPr>
        <w:t xml:space="preserve">SUMMARY OF THE MAIN </w:t>
      </w:r>
      <w:r w:rsidR="008019D1" w:rsidRPr="008019D1">
        <w:rPr>
          <w:rFonts w:ascii="Times New Roman" w:hAnsi="Times New Roman" w:cs="Times New Roman"/>
          <w:b/>
          <w:sz w:val="24"/>
          <w:szCs w:val="24"/>
          <w:u w:val="single"/>
        </w:rPr>
        <w:t xml:space="preserve">GOVERNANCE </w:t>
      </w:r>
      <w:r w:rsidRPr="008019D1">
        <w:rPr>
          <w:rFonts w:ascii="Times New Roman" w:hAnsi="Times New Roman" w:cs="Times New Roman"/>
          <w:b/>
          <w:sz w:val="24"/>
          <w:szCs w:val="24"/>
          <w:u w:val="single"/>
        </w:rPr>
        <w:t>ASPECTS OF THE SARBANES-OXLEY ACT</w:t>
      </w:r>
    </w:p>
    <w:p w:rsidR="002C78A9" w:rsidRPr="00A242F5" w:rsidRDefault="00F739D0" w:rsidP="00A242F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78A9" w:rsidRPr="00A242F5">
        <w:rPr>
          <w:rFonts w:ascii="Times New Roman" w:hAnsi="Times New Roman" w:cs="Times New Roman"/>
          <w:sz w:val="24"/>
          <w:szCs w:val="24"/>
        </w:rPr>
        <w:t>When corporate names</w:t>
      </w:r>
      <w:r w:rsidR="005E3284" w:rsidRPr="00A242F5">
        <w:rPr>
          <w:rFonts w:ascii="Times New Roman" w:hAnsi="Times New Roman" w:cs="Times New Roman"/>
          <w:sz w:val="24"/>
          <w:szCs w:val="24"/>
        </w:rPr>
        <w:t xml:space="preserve"> (Enron, Arthur Andersen, WorldCom, and Tyco)</w:t>
      </w:r>
      <w:r w:rsidR="002C78A9" w:rsidRPr="00A242F5">
        <w:rPr>
          <w:rFonts w:ascii="Times New Roman" w:hAnsi="Times New Roman" w:cs="Times New Roman"/>
          <w:sz w:val="24"/>
          <w:szCs w:val="24"/>
        </w:rPr>
        <w:t xml:space="preserve"> become synonymous with scandal and greed, public confidence wavers. The Sarbanes-Oxley Act was signed into law on July 30, 2002 in response to corporate scandals.</w:t>
      </w:r>
    </w:p>
    <w:p w:rsidR="002979CF" w:rsidRPr="00A242F5" w:rsidRDefault="002979CF" w:rsidP="00A242F5">
      <w:pPr>
        <w:spacing w:line="480" w:lineRule="auto"/>
        <w:jc w:val="both"/>
        <w:rPr>
          <w:rFonts w:ascii="Times New Roman" w:hAnsi="Times New Roman" w:cs="Times New Roman"/>
          <w:sz w:val="24"/>
          <w:szCs w:val="24"/>
        </w:rPr>
      </w:pPr>
      <w:r w:rsidRPr="00A242F5">
        <w:rPr>
          <w:rFonts w:ascii="Times New Roman" w:hAnsi="Times New Roman" w:cs="Times New Roman"/>
          <w:sz w:val="24"/>
          <w:szCs w:val="24"/>
        </w:rPr>
        <w:t>The </w:t>
      </w:r>
      <w:r w:rsidRPr="00A242F5">
        <w:rPr>
          <w:rFonts w:ascii="Times New Roman" w:hAnsi="Times New Roman" w:cs="Times New Roman"/>
          <w:bCs/>
          <w:sz w:val="24"/>
          <w:szCs w:val="24"/>
        </w:rPr>
        <w:t>Sarbanes–Oxley Act</w:t>
      </w:r>
      <w:r w:rsidRPr="00A242F5">
        <w:rPr>
          <w:rFonts w:ascii="Times New Roman" w:hAnsi="Times New Roman" w:cs="Times New Roman"/>
          <w:sz w:val="24"/>
          <w:szCs w:val="24"/>
        </w:rPr>
        <w:t>, enacted July 30, 2002, also known as the "Public Company Accounting Reform and Investor Protection Act" (in the</w:t>
      </w:r>
      <w:r w:rsidRPr="00A242F5">
        <w:rPr>
          <w:rFonts w:ascii="Times New Roman" w:hAnsi="Times New Roman" w:cs="Times New Roman"/>
          <w:sz w:val="24"/>
          <w:szCs w:val="24"/>
          <w:shd w:val="clear" w:color="auto" w:fill="FFFFFF" w:themeFill="background1"/>
        </w:rPr>
        <w:t> </w:t>
      </w:r>
      <w:hyperlink r:id="rId8" w:tooltip="United States Senate" w:history="1">
        <w:r w:rsidRPr="00A242F5">
          <w:rPr>
            <w:rStyle w:val="Hyperlink"/>
            <w:rFonts w:ascii="Times New Roman" w:hAnsi="Times New Roman" w:cs="Times New Roman"/>
            <w:color w:val="auto"/>
            <w:sz w:val="24"/>
            <w:szCs w:val="24"/>
            <w:u w:val="none"/>
            <w:shd w:val="clear" w:color="auto" w:fill="FFFFFF" w:themeFill="background1"/>
          </w:rPr>
          <w:t>Senate</w:t>
        </w:r>
      </w:hyperlink>
      <w:r w:rsidRPr="00A242F5">
        <w:rPr>
          <w:rFonts w:ascii="Times New Roman" w:hAnsi="Times New Roman" w:cs="Times New Roman"/>
          <w:sz w:val="24"/>
          <w:szCs w:val="24"/>
        </w:rPr>
        <w:t>) and "Corporate and Auditing Accountability, Responsibility, and Transparency Act" (in the </w:t>
      </w:r>
      <w:hyperlink r:id="rId9" w:tooltip="United States House of Representatives" w:history="1">
        <w:r w:rsidRPr="00A242F5">
          <w:rPr>
            <w:rStyle w:val="Hyperlink"/>
            <w:rFonts w:ascii="Times New Roman" w:hAnsi="Times New Roman" w:cs="Times New Roman"/>
            <w:color w:val="auto"/>
            <w:sz w:val="24"/>
            <w:szCs w:val="24"/>
            <w:u w:val="none"/>
          </w:rPr>
          <w:t>House</w:t>
        </w:r>
      </w:hyperlink>
      <w:r w:rsidRPr="00A242F5">
        <w:rPr>
          <w:rFonts w:ascii="Times New Roman" w:hAnsi="Times New Roman" w:cs="Times New Roman"/>
          <w:sz w:val="24"/>
          <w:szCs w:val="24"/>
        </w:rPr>
        <w:t>) and more commonly called </w:t>
      </w:r>
      <w:r w:rsidRPr="00A242F5">
        <w:rPr>
          <w:rFonts w:ascii="Times New Roman" w:hAnsi="Times New Roman" w:cs="Times New Roman"/>
          <w:bCs/>
          <w:sz w:val="24"/>
          <w:szCs w:val="24"/>
        </w:rPr>
        <w:t>Sarbanes–Oxley</w:t>
      </w:r>
      <w:r w:rsidRPr="00A242F5">
        <w:rPr>
          <w:rFonts w:ascii="Times New Roman" w:hAnsi="Times New Roman" w:cs="Times New Roman"/>
          <w:sz w:val="24"/>
          <w:szCs w:val="24"/>
        </w:rPr>
        <w:t>, </w:t>
      </w:r>
      <w:r w:rsidRPr="00A242F5">
        <w:rPr>
          <w:rFonts w:ascii="Times New Roman" w:hAnsi="Times New Roman" w:cs="Times New Roman"/>
          <w:bCs/>
          <w:sz w:val="24"/>
          <w:szCs w:val="24"/>
        </w:rPr>
        <w:t>Sarbox</w:t>
      </w:r>
      <w:r w:rsidRPr="00A242F5">
        <w:rPr>
          <w:rFonts w:ascii="Times New Roman" w:hAnsi="Times New Roman" w:cs="Times New Roman"/>
          <w:sz w:val="24"/>
          <w:szCs w:val="24"/>
        </w:rPr>
        <w:t> or </w:t>
      </w:r>
      <w:r w:rsidRPr="00A242F5">
        <w:rPr>
          <w:rFonts w:ascii="Times New Roman" w:hAnsi="Times New Roman" w:cs="Times New Roman"/>
          <w:bCs/>
          <w:sz w:val="24"/>
          <w:szCs w:val="24"/>
        </w:rPr>
        <w:t>SOX</w:t>
      </w:r>
      <w:r w:rsidRPr="00A242F5">
        <w:rPr>
          <w:rFonts w:ascii="Times New Roman" w:hAnsi="Times New Roman" w:cs="Times New Roman"/>
          <w:sz w:val="24"/>
          <w:szCs w:val="24"/>
        </w:rPr>
        <w:t>.</w:t>
      </w:r>
      <w:r w:rsidR="00265DD6" w:rsidRPr="00A242F5">
        <w:rPr>
          <w:rFonts w:ascii="Times New Roman" w:hAnsi="Times New Roman" w:cs="Times New Roman"/>
          <w:sz w:val="24"/>
          <w:szCs w:val="24"/>
        </w:rPr>
        <w:t xml:space="preserve"> The act is focused on financial reporting on the need to maintain a strong control environment, strong internal control over financial reporting is fundamental to providing reliable financial statements.</w:t>
      </w:r>
    </w:p>
    <w:p w:rsidR="00DF3B00" w:rsidRPr="00A242F5" w:rsidRDefault="00DF3B00" w:rsidP="00A242F5">
      <w:pPr>
        <w:spacing w:line="480" w:lineRule="auto"/>
        <w:jc w:val="both"/>
        <w:rPr>
          <w:rFonts w:ascii="Times New Roman" w:hAnsi="Times New Roman" w:cs="Times New Roman"/>
          <w:sz w:val="24"/>
          <w:szCs w:val="24"/>
        </w:rPr>
      </w:pPr>
      <w:r w:rsidRPr="00A242F5">
        <w:rPr>
          <w:rFonts w:ascii="Times New Roman" w:hAnsi="Times New Roman" w:cs="Times New Roman"/>
          <w:sz w:val="24"/>
          <w:szCs w:val="24"/>
        </w:rPr>
        <w:t>We’ll take a closer look at these main areas of the Act:</w:t>
      </w:r>
    </w:p>
    <w:p w:rsidR="00DF3B00" w:rsidRPr="00A242F5" w:rsidRDefault="00983E17" w:rsidP="00A242F5">
      <w:pPr>
        <w:spacing w:line="480" w:lineRule="auto"/>
        <w:jc w:val="both"/>
        <w:rPr>
          <w:rFonts w:ascii="Times New Roman" w:hAnsi="Times New Roman" w:cs="Times New Roman"/>
          <w:sz w:val="24"/>
          <w:szCs w:val="24"/>
        </w:rPr>
      </w:pPr>
      <w:r w:rsidRPr="00A242F5">
        <w:rPr>
          <w:rFonts w:ascii="Times New Roman" w:hAnsi="Times New Roman" w:cs="Times New Roman"/>
          <w:sz w:val="24"/>
          <w:szCs w:val="24"/>
        </w:rPr>
        <w:t>(1.)</w:t>
      </w:r>
      <w:r w:rsidR="00DF3B00" w:rsidRPr="00A242F5">
        <w:rPr>
          <w:rFonts w:ascii="Times New Roman" w:hAnsi="Times New Roman" w:cs="Times New Roman"/>
          <w:sz w:val="24"/>
          <w:szCs w:val="24"/>
        </w:rPr>
        <w:t xml:space="preserve"> </w:t>
      </w:r>
      <w:r w:rsidR="00B249D2" w:rsidRPr="00A242F5">
        <w:rPr>
          <w:rFonts w:ascii="Times New Roman" w:hAnsi="Times New Roman" w:cs="Times New Roman"/>
          <w:sz w:val="24"/>
          <w:szCs w:val="24"/>
        </w:rPr>
        <w:t>Increased</w:t>
      </w:r>
      <w:r w:rsidRPr="00A242F5">
        <w:rPr>
          <w:rFonts w:ascii="Times New Roman" w:hAnsi="Times New Roman" w:cs="Times New Roman"/>
          <w:sz w:val="24"/>
          <w:szCs w:val="24"/>
        </w:rPr>
        <w:t xml:space="preserve"> auditor independence</w:t>
      </w:r>
      <w:r w:rsidR="00E63203" w:rsidRPr="00A242F5">
        <w:rPr>
          <w:rFonts w:ascii="Times New Roman" w:hAnsi="Times New Roman" w:cs="Times New Roman"/>
          <w:sz w:val="24"/>
          <w:szCs w:val="24"/>
        </w:rPr>
        <w:t xml:space="preserve"> (2.) greater financial disclosures</w:t>
      </w:r>
      <w:r w:rsidRPr="00A242F5">
        <w:rPr>
          <w:rFonts w:ascii="Times New Roman" w:hAnsi="Times New Roman" w:cs="Times New Roman"/>
          <w:sz w:val="24"/>
          <w:szCs w:val="24"/>
        </w:rPr>
        <w:t xml:space="preserve"> (</w:t>
      </w:r>
      <w:r w:rsidR="00E63203" w:rsidRPr="00A242F5">
        <w:rPr>
          <w:rFonts w:ascii="Times New Roman" w:hAnsi="Times New Roman" w:cs="Times New Roman"/>
          <w:sz w:val="24"/>
          <w:szCs w:val="24"/>
        </w:rPr>
        <w:t>3</w:t>
      </w:r>
      <w:r w:rsidRPr="00A242F5">
        <w:rPr>
          <w:rFonts w:ascii="Times New Roman" w:hAnsi="Times New Roman" w:cs="Times New Roman"/>
          <w:sz w:val="24"/>
          <w:szCs w:val="24"/>
        </w:rPr>
        <w:t xml:space="preserve">.) the oversight </w:t>
      </w:r>
      <w:r w:rsidR="00457ACB" w:rsidRPr="00A242F5">
        <w:rPr>
          <w:rFonts w:ascii="Times New Roman" w:hAnsi="Times New Roman" w:cs="Times New Roman"/>
          <w:sz w:val="24"/>
          <w:szCs w:val="24"/>
        </w:rPr>
        <w:t xml:space="preserve">board </w:t>
      </w:r>
      <w:r w:rsidR="00DF3B00" w:rsidRPr="00A242F5">
        <w:rPr>
          <w:rFonts w:ascii="Times New Roman" w:hAnsi="Times New Roman" w:cs="Times New Roman"/>
          <w:sz w:val="24"/>
          <w:szCs w:val="24"/>
        </w:rPr>
        <w:t>(4.) conflict of int</w:t>
      </w:r>
      <w:r w:rsidR="00BC72AD" w:rsidRPr="00A242F5">
        <w:rPr>
          <w:rFonts w:ascii="Times New Roman" w:hAnsi="Times New Roman" w:cs="Times New Roman"/>
          <w:sz w:val="24"/>
          <w:szCs w:val="24"/>
        </w:rPr>
        <w:t>erest disclosures for analysts (</w:t>
      </w:r>
      <w:r w:rsidR="00DF3B00" w:rsidRPr="00A242F5">
        <w:rPr>
          <w:rFonts w:ascii="Times New Roman" w:hAnsi="Times New Roman" w:cs="Times New Roman"/>
          <w:sz w:val="24"/>
          <w:szCs w:val="24"/>
        </w:rPr>
        <w:t>5.</w:t>
      </w:r>
      <w:r w:rsidR="00BC72AD" w:rsidRPr="00A242F5">
        <w:rPr>
          <w:rFonts w:ascii="Times New Roman" w:hAnsi="Times New Roman" w:cs="Times New Roman"/>
          <w:sz w:val="24"/>
          <w:szCs w:val="24"/>
        </w:rPr>
        <w:t>) sharpened responsibilities for attorneys (6.)</w:t>
      </w:r>
      <w:r w:rsidR="00DF3B00" w:rsidRPr="00A242F5">
        <w:rPr>
          <w:rFonts w:ascii="Times New Roman" w:hAnsi="Times New Roman" w:cs="Times New Roman"/>
          <w:sz w:val="24"/>
          <w:szCs w:val="24"/>
        </w:rPr>
        <w:t xml:space="preserve"> corporate and crimina</w:t>
      </w:r>
      <w:r w:rsidR="00BC72AD" w:rsidRPr="00A242F5">
        <w:rPr>
          <w:rFonts w:ascii="Times New Roman" w:hAnsi="Times New Roman" w:cs="Times New Roman"/>
          <w:sz w:val="24"/>
          <w:szCs w:val="24"/>
        </w:rPr>
        <w:t>l fraud accountability</w:t>
      </w:r>
      <w:r w:rsidR="00DB673D" w:rsidRPr="00A242F5">
        <w:rPr>
          <w:rFonts w:ascii="Times New Roman" w:hAnsi="Times New Roman" w:cs="Times New Roman"/>
          <w:sz w:val="24"/>
          <w:szCs w:val="24"/>
        </w:rPr>
        <w:t xml:space="preserve"> (7.) Commission Resources and Authority</w:t>
      </w:r>
    </w:p>
    <w:p w:rsidR="00DF3B00" w:rsidRPr="00A242F5" w:rsidRDefault="00B249D2" w:rsidP="00A242F5">
      <w:pPr>
        <w:pStyle w:val="ListParagraph"/>
        <w:numPr>
          <w:ilvl w:val="0"/>
          <w:numId w:val="4"/>
        </w:numPr>
        <w:spacing w:line="480" w:lineRule="auto"/>
        <w:jc w:val="both"/>
        <w:rPr>
          <w:rFonts w:ascii="Times New Roman" w:hAnsi="Times New Roman" w:cs="Times New Roman"/>
          <w:sz w:val="24"/>
          <w:szCs w:val="24"/>
        </w:rPr>
      </w:pPr>
      <w:r w:rsidRPr="00A242F5">
        <w:rPr>
          <w:rFonts w:ascii="Times New Roman" w:hAnsi="Times New Roman" w:cs="Times New Roman"/>
          <w:b/>
          <w:bCs/>
          <w:sz w:val="24"/>
          <w:szCs w:val="24"/>
        </w:rPr>
        <w:t xml:space="preserve">Increased </w:t>
      </w:r>
      <w:r w:rsidR="00983E17" w:rsidRPr="00A242F5">
        <w:rPr>
          <w:rFonts w:ascii="Times New Roman" w:hAnsi="Times New Roman" w:cs="Times New Roman"/>
          <w:b/>
          <w:bCs/>
          <w:sz w:val="24"/>
          <w:szCs w:val="24"/>
        </w:rPr>
        <w:t>Auditor Independence</w:t>
      </w:r>
    </w:p>
    <w:p w:rsidR="00EC475C" w:rsidRPr="00A242F5" w:rsidRDefault="00B249D2" w:rsidP="00A242F5">
      <w:pPr>
        <w:spacing w:line="480" w:lineRule="auto"/>
        <w:ind w:left="1080"/>
        <w:jc w:val="both"/>
        <w:rPr>
          <w:rFonts w:ascii="Times New Roman" w:hAnsi="Times New Roman" w:cs="Times New Roman"/>
          <w:sz w:val="24"/>
          <w:szCs w:val="24"/>
        </w:rPr>
      </w:pPr>
      <w:r w:rsidRPr="00A242F5">
        <w:rPr>
          <w:rFonts w:ascii="Times New Roman" w:hAnsi="Times New Roman" w:cs="Times New Roman"/>
          <w:sz w:val="24"/>
          <w:szCs w:val="24"/>
        </w:rPr>
        <w:t>It establishes standards for external auditor independence</w:t>
      </w:r>
      <w:r w:rsidRPr="00A242F5">
        <w:rPr>
          <w:rFonts w:ascii="Times New Roman" w:hAnsi="Times New Roman" w:cs="Times New Roman"/>
          <w:color w:val="000000"/>
          <w:sz w:val="24"/>
          <w:szCs w:val="24"/>
          <w:shd w:val="clear" w:color="auto" w:fill="FFFFFF"/>
        </w:rPr>
        <w:t xml:space="preserve"> </w:t>
      </w:r>
      <w:r w:rsidRPr="00A242F5">
        <w:rPr>
          <w:rFonts w:ascii="Times New Roman" w:hAnsi="Times New Roman" w:cs="Times New Roman"/>
          <w:sz w:val="24"/>
          <w:szCs w:val="24"/>
        </w:rPr>
        <w:t xml:space="preserve">that became effective in May 2003, to limit conflicts of interest. It also addresses new auditor approval requirements, audit partner rotation, and auditor reporting requirements. It restricts auditing companies from providing non-audit services for the same clients. Auditors now have a list of non-audit services they can't perform during an audit. The Act also </w:t>
      </w:r>
      <w:r w:rsidRPr="00A242F5">
        <w:rPr>
          <w:rFonts w:ascii="Times New Roman" w:hAnsi="Times New Roman" w:cs="Times New Roman"/>
          <w:sz w:val="24"/>
          <w:szCs w:val="24"/>
        </w:rPr>
        <w:lastRenderedPageBreak/>
        <w:t>imposes a one-year waiting period for audit firm employees who leave an accounting firm to become an executive for a former client. In addition, the former firm must wait one year before performing any audit services for the new employer.</w:t>
      </w:r>
      <w:r w:rsidR="00EC475C" w:rsidRPr="00A242F5">
        <w:rPr>
          <w:rFonts w:ascii="Times New Roman" w:hAnsi="Times New Roman" w:cs="Times New Roman"/>
          <w:sz w:val="24"/>
          <w:szCs w:val="24"/>
        </w:rPr>
        <w:t xml:space="preserve"> Finally, the audit committee must establish procedures for the receipt, retention, and treatment of complaints regarding accounting or auditing issues, including procedures for the confidential, anonymous submission by employees of concerns regarding questionable accounting or auditing matters. </w:t>
      </w:r>
    </w:p>
    <w:p w:rsidR="00265DD6" w:rsidRPr="00A242F5" w:rsidRDefault="0079052F" w:rsidP="00A242F5">
      <w:pPr>
        <w:pStyle w:val="ListParagraph"/>
        <w:spacing w:line="480" w:lineRule="auto"/>
        <w:ind w:left="1440"/>
        <w:jc w:val="both"/>
        <w:rPr>
          <w:rFonts w:ascii="Times New Roman" w:hAnsi="Times New Roman" w:cs="Times New Roman"/>
          <w:sz w:val="24"/>
          <w:szCs w:val="24"/>
        </w:rPr>
      </w:pPr>
      <w:r w:rsidRPr="00A242F5">
        <w:rPr>
          <w:rFonts w:ascii="Times New Roman" w:hAnsi="Times New Roman" w:cs="Times New Roman"/>
          <w:sz w:val="24"/>
          <w:szCs w:val="24"/>
        </w:rPr>
        <w:t>T</w:t>
      </w:r>
      <w:r w:rsidR="00EC475C" w:rsidRPr="00A242F5">
        <w:rPr>
          <w:rFonts w:ascii="Times New Roman" w:hAnsi="Times New Roman" w:cs="Times New Roman"/>
          <w:sz w:val="24"/>
          <w:szCs w:val="24"/>
        </w:rPr>
        <w:t>he Act requires the auditor for a public company to report certain information to the audit committee on a timely basis, including all critical accounting policies used by the company, alternative accounting treatments discussed with management, and other written</w:t>
      </w:r>
      <w:r w:rsidR="009646A7" w:rsidRPr="00A242F5">
        <w:rPr>
          <w:rFonts w:ascii="Times New Roman" w:hAnsi="Times New Roman" w:cs="Times New Roman"/>
          <w:sz w:val="24"/>
          <w:szCs w:val="24"/>
        </w:rPr>
        <w:t xml:space="preserve"> communications with management</w:t>
      </w:r>
      <w:r w:rsidR="007754EB" w:rsidRPr="00A242F5">
        <w:rPr>
          <w:rFonts w:ascii="Times New Roman" w:hAnsi="Times New Roman" w:cs="Times New Roman"/>
          <w:sz w:val="24"/>
          <w:szCs w:val="24"/>
        </w:rPr>
        <w:t>.</w:t>
      </w:r>
    </w:p>
    <w:p w:rsidR="003462D4" w:rsidRPr="00A242F5" w:rsidRDefault="003462D4" w:rsidP="00A242F5">
      <w:pPr>
        <w:pStyle w:val="ListParagraph"/>
        <w:numPr>
          <w:ilvl w:val="0"/>
          <w:numId w:val="4"/>
        </w:numPr>
        <w:spacing w:line="480" w:lineRule="auto"/>
        <w:jc w:val="both"/>
        <w:rPr>
          <w:rFonts w:ascii="Times New Roman" w:hAnsi="Times New Roman" w:cs="Times New Roman"/>
          <w:b/>
          <w:sz w:val="24"/>
          <w:szCs w:val="24"/>
        </w:rPr>
      </w:pPr>
      <w:r w:rsidRPr="00A242F5">
        <w:rPr>
          <w:rFonts w:ascii="Times New Roman" w:hAnsi="Times New Roman" w:cs="Times New Roman"/>
          <w:b/>
          <w:sz w:val="24"/>
          <w:szCs w:val="24"/>
        </w:rPr>
        <w:t>Greater financial disclosures</w:t>
      </w:r>
    </w:p>
    <w:p w:rsidR="00D014D6" w:rsidRPr="00A242F5" w:rsidRDefault="00D014D6" w:rsidP="00A242F5">
      <w:pPr>
        <w:pStyle w:val="ListParagraph"/>
        <w:spacing w:line="480" w:lineRule="auto"/>
        <w:ind w:left="1440"/>
        <w:jc w:val="both"/>
        <w:rPr>
          <w:rFonts w:ascii="Times New Roman" w:hAnsi="Times New Roman" w:cs="Times New Roman"/>
          <w:sz w:val="24"/>
          <w:szCs w:val="24"/>
        </w:rPr>
      </w:pPr>
      <w:r w:rsidRPr="00A242F5">
        <w:rPr>
          <w:rFonts w:ascii="Times New Roman" w:hAnsi="Times New Roman" w:cs="Times New Roman"/>
          <w:sz w:val="24"/>
          <w:szCs w:val="24"/>
        </w:rPr>
        <w:t xml:space="preserve">Sarbanes-Oxley Act imposed a number of reforms on the accounting and financial reporting requirements of public companies. </w:t>
      </w:r>
      <w:r w:rsidR="003462D4" w:rsidRPr="00A242F5">
        <w:rPr>
          <w:rFonts w:ascii="Times New Roman" w:hAnsi="Times New Roman" w:cs="Times New Roman"/>
          <w:sz w:val="24"/>
          <w:szCs w:val="24"/>
        </w:rPr>
        <w:t>Transactions and relationships that are off-balance sheet but that may affect financial status now must be disclosed. Annual reports must include a report stating the management is responsible for the internal control structure and procedures for financial reporting.</w:t>
      </w:r>
      <w:r w:rsidRPr="00A242F5">
        <w:rPr>
          <w:rFonts w:ascii="Times New Roman" w:eastAsia="Times New Roman" w:hAnsi="Times New Roman" w:cs="Times New Roman"/>
          <w:color w:val="222222"/>
          <w:sz w:val="24"/>
          <w:szCs w:val="24"/>
        </w:rPr>
        <w:t xml:space="preserve"> </w:t>
      </w:r>
      <w:r w:rsidRPr="00A242F5">
        <w:rPr>
          <w:rFonts w:ascii="Times New Roman" w:hAnsi="Times New Roman" w:cs="Times New Roman"/>
          <w:sz w:val="24"/>
          <w:szCs w:val="24"/>
        </w:rPr>
        <w:t>It describes enhanced reporting requirements for financial transactions, including pro-forma figures and stock transactions of corporate officers. It requires internal controls for assuring the accuracy of financial reports and disclosures, and mandates both audits and reports on those controls. It also requires timely reporting of material changes in financial condition and specific enhanced reviews by its agents of corporate reports.</w:t>
      </w:r>
    </w:p>
    <w:p w:rsidR="003462D4" w:rsidRPr="00A242F5" w:rsidRDefault="003462D4" w:rsidP="00A242F5">
      <w:pPr>
        <w:pStyle w:val="ListParagraph"/>
        <w:spacing w:line="480" w:lineRule="auto"/>
        <w:jc w:val="both"/>
        <w:rPr>
          <w:rFonts w:ascii="Times New Roman" w:hAnsi="Times New Roman" w:cs="Times New Roman"/>
          <w:sz w:val="24"/>
          <w:szCs w:val="24"/>
        </w:rPr>
      </w:pPr>
    </w:p>
    <w:p w:rsidR="003462D4" w:rsidRPr="00A242F5" w:rsidRDefault="0016565A" w:rsidP="00A242F5">
      <w:pPr>
        <w:pStyle w:val="ListParagraph"/>
        <w:numPr>
          <w:ilvl w:val="0"/>
          <w:numId w:val="4"/>
        </w:numPr>
        <w:spacing w:line="480" w:lineRule="auto"/>
        <w:jc w:val="both"/>
        <w:rPr>
          <w:rFonts w:ascii="Times New Roman" w:hAnsi="Times New Roman" w:cs="Times New Roman"/>
          <w:b/>
          <w:sz w:val="24"/>
          <w:szCs w:val="24"/>
        </w:rPr>
      </w:pPr>
      <w:r w:rsidRPr="00A242F5">
        <w:rPr>
          <w:rFonts w:ascii="Times New Roman" w:hAnsi="Times New Roman" w:cs="Times New Roman"/>
          <w:b/>
          <w:bCs/>
          <w:sz w:val="24"/>
          <w:szCs w:val="24"/>
        </w:rPr>
        <w:t>Public Company Accounting Oversight Board (PCAOB)</w:t>
      </w:r>
    </w:p>
    <w:p w:rsidR="00862B3D" w:rsidRPr="00A242F5" w:rsidRDefault="00862B3D" w:rsidP="00A242F5">
      <w:pPr>
        <w:spacing w:line="480" w:lineRule="auto"/>
        <w:ind w:left="1080"/>
        <w:jc w:val="both"/>
        <w:rPr>
          <w:rFonts w:ascii="Times New Roman" w:hAnsi="Times New Roman" w:cs="Times New Roman"/>
          <w:sz w:val="24"/>
          <w:szCs w:val="24"/>
        </w:rPr>
      </w:pPr>
      <w:r w:rsidRPr="00A242F5">
        <w:rPr>
          <w:rFonts w:ascii="Times New Roman" w:hAnsi="Times New Roman" w:cs="Times New Roman"/>
          <w:sz w:val="24"/>
          <w:szCs w:val="24"/>
        </w:rPr>
        <w:t>The act</w:t>
      </w:r>
      <w:r w:rsidR="0016565A" w:rsidRPr="00A242F5">
        <w:rPr>
          <w:rFonts w:ascii="Times New Roman" w:hAnsi="Times New Roman" w:cs="Times New Roman"/>
          <w:sz w:val="24"/>
          <w:szCs w:val="24"/>
        </w:rPr>
        <w:t xml:space="preserve"> created the independent Public Company Accounting Oversight Board (PCAOB) in 2002 to oversee the independent auditors of public companies, replacing a self-regulatory scheme and mandating true independence.</w:t>
      </w:r>
      <w:r w:rsidRPr="00A242F5">
        <w:rPr>
          <w:rFonts w:ascii="Times New Roman" w:hAnsi="Times New Roman" w:cs="Times New Roman"/>
          <w:sz w:val="24"/>
          <w:szCs w:val="24"/>
        </w:rPr>
        <w:t xml:space="preserve"> All accounting firms that audit public companies must register with the Oversight Board and are subject to annual or triennial agency inspections, depending on their size.  </w:t>
      </w:r>
      <w:r w:rsidR="0016565A" w:rsidRPr="00A242F5">
        <w:rPr>
          <w:rFonts w:ascii="Times New Roman" w:hAnsi="Times New Roman" w:cs="Times New Roman"/>
          <w:sz w:val="24"/>
          <w:szCs w:val="24"/>
        </w:rPr>
        <w:t xml:space="preserve"> The Board’s inspection powers mean the audits of companies’ internal co</w:t>
      </w:r>
      <w:r w:rsidRPr="00A242F5">
        <w:rPr>
          <w:rFonts w:ascii="Times New Roman" w:hAnsi="Times New Roman" w:cs="Times New Roman"/>
          <w:sz w:val="24"/>
          <w:szCs w:val="24"/>
        </w:rPr>
        <w:t xml:space="preserve">ntrols are subject to scrutiny. </w:t>
      </w:r>
      <w:r w:rsidR="0016565A" w:rsidRPr="00A242F5">
        <w:rPr>
          <w:rFonts w:ascii="Times New Roman" w:hAnsi="Times New Roman" w:cs="Times New Roman"/>
          <w:sz w:val="24"/>
          <w:szCs w:val="24"/>
        </w:rPr>
        <w:t>It also inspects, investigates, and enforces compliance from these registered firms.</w:t>
      </w:r>
      <w:r w:rsidRPr="00A242F5">
        <w:rPr>
          <w:rFonts w:ascii="Times New Roman" w:eastAsia="Times New Roman" w:hAnsi="Times New Roman" w:cs="Times New Roman"/>
          <w:color w:val="222222"/>
          <w:sz w:val="24"/>
          <w:szCs w:val="24"/>
        </w:rPr>
        <w:t xml:space="preserve"> </w:t>
      </w:r>
      <w:r w:rsidRPr="00A242F5">
        <w:rPr>
          <w:rFonts w:ascii="Times New Roman" w:hAnsi="Times New Roman" w:cs="Times New Roman"/>
          <w:sz w:val="24"/>
          <w:szCs w:val="24"/>
        </w:rPr>
        <w:t>It also creates a central oversight board tasked with registering auditors, defining the specific processes and procedures for compliance audits, inspecting.</w:t>
      </w:r>
    </w:p>
    <w:p w:rsidR="0016565A" w:rsidRPr="00A242F5" w:rsidRDefault="0016565A" w:rsidP="00A242F5">
      <w:pPr>
        <w:pStyle w:val="ListParagraph"/>
        <w:spacing w:line="480" w:lineRule="auto"/>
        <w:jc w:val="both"/>
        <w:rPr>
          <w:rFonts w:ascii="Times New Roman" w:hAnsi="Times New Roman" w:cs="Times New Roman"/>
          <w:sz w:val="24"/>
          <w:szCs w:val="24"/>
        </w:rPr>
      </w:pPr>
    </w:p>
    <w:p w:rsidR="0016565A" w:rsidRPr="00A242F5" w:rsidRDefault="0016565A" w:rsidP="00A242F5">
      <w:pPr>
        <w:pStyle w:val="ListParagraph"/>
        <w:spacing w:line="480" w:lineRule="auto"/>
        <w:jc w:val="both"/>
        <w:rPr>
          <w:rFonts w:ascii="Times New Roman" w:hAnsi="Times New Roman" w:cs="Times New Roman"/>
          <w:sz w:val="24"/>
          <w:szCs w:val="24"/>
        </w:rPr>
      </w:pPr>
    </w:p>
    <w:p w:rsidR="00C147C6" w:rsidRPr="00A242F5" w:rsidRDefault="00C147C6" w:rsidP="00A242F5">
      <w:pPr>
        <w:pStyle w:val="ListParagraph"/>
        <w:numPr>
          <w:ilvl w:val="0"/>
          <w:numId w:val="4"/>
        </w:numPr>
        <w:spacing w:line="480" w:lineRule="auto"/>
        <w:jc w:val="both"/>
        <w:rPr>
          <w:rFonts w:ascii="Times New Roman" w:hAnsi="Times New Roman" w:cs="Times New Roman"/>
          <w:b/>
          <w:sz w:val="24"/>
          <w:szCs w:val="24"/>
        </w:rPr>
      </w:pPr>
      <w:r w:rsidRPr="00A242F5">
        <w:rPr>
          <w:rFonts w:ascii="Times New Roman" w:hAnsi="Times New Roman" w:cs="Times New Roman"/>
          <w:b/>
          <w:sz w:val="24"/>
          <w:szCs w:val="24"/>
        </w:rPr>
        <w:t>Oversight Board</w:t>
      </w:r>
    </w:p>
    <w:p w:rsidR="00BC72AD" w:rsidRPr="00A242F5" w:rsidRDefault="00C147C6" w:rsidP="00A242F5">
      <w:pPr>
        <w:spacing w:line="480" w:lineRule="auto"/>
        <w:ind w:left="1080"/>
        <w:jc w:val="both"/>
        <w:rPr>
          <w:rFonts w:ascii="Times New Roman" w:hAnsi="Times New Roman" w:cs="Times New Roman"/>
          <w:sz w:val="24"/>
          <w:szCs w:val="24"/>
        </w:rPr>
      </w:pPr>
      <w:r w:rsidRPr="00A242F5">
        <w:rPr>
          <w:rFonts w:ascii="Times New Roman" w:hAnsi="Times New Roman" w:cs="Times New Roman"/>
          <w:sz w:val="24"/>
          <w:szCs w:val="24"/>
        </w:rPr>
        <w:t>The Public Company Accounting Oversight Board was created to oversee the audit of public companies. This board sets standards and rules for audit reports. This board will have supervisory powers over the audit process of publicly traded companies. Thus it is not intended to conflict with state regulation and supervision of accountants serving private clients.</w:t>
      </w:r>
      <w:r w:rsidR="00BC72AD" w:rsidRPr="00A242F5">
        <w:rPr>
          <w:rFonts w:ascii="Times New Roman" w:hAnsi="Times New Roman" w:cs="Times New Roman"/>
          <w:sz w:val="24"/>
          <w:szCs w:val="24"/>
        </w:rPr>
        <w:t xml:space="preserve"> It will b</w:t>
      </w:r>
      <w:r w:rsidRPr="00A242F5">
        <w:rPr>
          <w:rFonts w:ascii="Times New Roman" w:hAnsi="Times New Roman" w:cs="Times New Roman"/>
          <w:sz w:val="24"/>
          <w:szCs w:val="24"/>
        </w:rPr>
        <w:t>e made up of five persons each appointed for a five year t</w:t>
      </w:r>
      <w:r w:rsidR="00BC72AD" w:rsidRPr="00A242F5">
        <w:rPr>
          <w:rFonts w:ascii="Times New Roman" w:hAnsi="Times New Roman" w:cs="Times New Roman"/>
          <w:sz w:val="24"/>
          <w:szCs w:val="24"/>
        </w:rPr>
        <w:t>erm, t</w:t>
      </w:r>
      <w:r w:rsidRPr="00A242F5">
        <w:rPr>
          <w:rFonts w:ascii="Times New Roman" w:hAnsi="Times New Roman" w:cs="Times New Roman"/>
          <w:sz w:val="24"/>
          <w:szCs w:val="24"/>
        </w:rPr>
        <w:t>wo of whom will be CPAs and three of whom cannot be CPAs</w:t>
      </w:r>
      <w:r w:rsidR="00BC72AD" w:rsidRPr="00A242F5">
        <w:rPr>
          <w:rFonts w:ascii="Times New Roman" w:hAnsi="Times New Roman" w:cs="Times New Roman"/>
          <w:sz w:val="24"/>
          <w:szCs w:val="24"/>
        </w:rPr>
        <w:t>.</w:t>
      </w:r>
      <w:r w:rsidRPr="00A242F5">
        <w:rPr>
          <w:rFonts w:ascii="Times New Roman" w:hAnsi="Times New Roman" w:cs="Times New Roman"/>
          <w:sz w:val="24"/>
          <w:szCs w:val="24"/>
        </w:rPr>
        <w:t xml:space="preserve">  All accounting firms that audit public companies must register with the Oversight Board. It also inspects, investigates, and enforces compliance from these registered firms.</w:t>
      </w:r>
    </w:p>
    <w:p w:rsidR="00DF44C8" w:rsidRPr="00A242F5" w:rsidRDefault="00DF44C8" w:rsidP="00A242F5">
      <w:pPr>
        <w:pStyle w:val="ListParagraph"/>
        <w:spacing w:line="480" w:lineRule="auto"/>
        <w:jc w:val="both"/>
        <w:rPr>
          <w:rFonts w:ascii="Times New Roman" w:hAnsi="Times New Roman" w:cs="Times New Roman"/>
          <w:sz w:val="24"/>
          <w:szCs w:val="24"/>
        </w:rPr>
      </w:pPr>
    </w:p>
    <w:p w:rsidR="00DF44C8" w:rsidRPr="00A242F5" w:rsidRDefault="00DF44C8" w:rsidP="00A242F5">
      <w:pPr>
        <w:pStyle w:val="ListParagraph"/>
        <w:spacing w:line="480" w:lineRule="auto"/>
        <w:jc w:val="both"/>
        <w:rPr>
          <w:rFonts w:ascii="Times New Roman" w:hAnsi="Times New Roman" w:cs="Times New Roman"/>
          <w:sz w:val="24"/>
          <w:szCs w:val="24"/>
        </w:rPr>
      </w:pPr>
    </w:p>
    <w:p w:rsidR="00BC72AD" w:rsidRPr="00A242F5" w:rsidRDefault="00BC72AD" w:rsidP="00A242F5">
      <w:pPr>
        <w:pStyle w:val="ListParagraph"/>
        <w:numPr>
          <w:ilvl w:val="0"/>
          <w:numId w:val="4"/>
        </w:numPr>
        <w:spacing w:line="480" w:lineRule="auto"/>
        <w:jc w:val="both"/>
        <w:rPr>
          <w:rFonts w:ascii="Times New Roman" w:hAnsi="Times New Roman" w:cs="Times New Roman"/>
          <w:sz w:val="24"/>
          <w:szCs w:val="24"/>
        </w:rPr>
      </w:pPr>
      <w:r w:rsidRPr="00A242F5">
        <w:rPr>
          <w:rFonts w:ascii="Times New Roman" w:hAnsi="Times New Roman" w:cs="Times New Roman"/>
          <w:b/>
          <w:sz w:val="24"/>
          <w:szCs w:val="24"/>
        </w:rPr>
        <w:t>Attorneys' Responsibilities</w:t>
      </w:r>
    </w:p>
    <w:p w:rsidR="00C147C6" w:rsidRPr="00A242F5" w:rsidRDefault="00BC72AD" w:rsidP="00A242F5">
      <w:pPr>
        <w:pStyle w:val="ListParagraph"/>
        <w:spacing w:line="480" w:lineRule="auto"/>
        <w:jc w:val="both"/>
        <w:rPr>
          <w:rFonts w:ascii="Times New Roman" w:hAnsi="Times New Roman" w:cs="Times New Roman"/>
          <w:sz w:val="24"/>
          <w:szCs w:val="24"/>
        </w:rPr>
      </w:pPr>
      <w:r w:rsidRPr="00A242F5">
        <w:rPr>
          <w:rFonts w:ascii="Times New Roman" w:hAnsi="Times New Roman" w:cs="Times New Roman"/>
          <w:sz w:val="24"/>
          <w:szCs w:val="24"/>
        </w:rPr>
        <w:t>There are now minimum standards of professional conduct for attorneys representing public companies before the SEC. These include a rule requiring an attorney to report securities violations to the CEO.</w:t>
      </w:r>
    </w:p>
    <w:p w:rsidR="005C4CBE" w:rsidRPr="00A242F5" w:rsidRDefault="005C4CBE" w:rsidP="00A242F5">
      <w:pPr>
        <w:pStyle w:val="ListParagraph"/>
        <w:numPr>
          <w:ilvl w:val="0"/>
          <w:numId w:val="4"/>
        </w:numPr>
        <w:spacing w:line="480" w:lineRule="auto"/>
        <w:jc w:val="both"/>
        <w:rPr>
          <w:rFonts w:ascii="Times New Roman" w:hAnsi="Times New Roman" w:cs="Times New Roman"/>
          <w:b/>
          <w:sz w:val="24"/>
          <w:szCs w:val="24"/>
        </w:rPr>
      </w:pPr>
      <w:r w:rsidRPr="00A242F5">
        <w:rPr>
          <w:rFonts w:ascii="Times New Roman" w:hAnsi="Times New Roman" w:cs="Times New Roman"/>
          <w:b/>
          <w:sz w:val="24"/>
          <w:szCs w:val="24"/>
        </w:rPr>
        <w:t>Corporate and criminal fraud accountability</w:t>
      </w:r>
      <w:r w:rsidR="008C200A" w:rsidRPr="00A242F5">
        <w:rPr>
          <w:rFonts w:ascii="Times New Roman" w:hAnsi="Times New Roman" w:cs="Times New Roman"/>
          <w:sz w:val="24"/>
          <w:szCs w:val="24"/>
        </w:rPr>
        <w:t xml:space="preserve"> </w:t>
      </w:r>
      <w:r w:rsidR="008C200A" w:rsidRPr="00A242F5">
        <w:rPr>
          <w:rFonts w:ascii="Times New Roman" w:hAnsi="Times New Roman" w:cs="Times New Roman"/>
          <w:b/>
          <w:sz w:val="24"/>
          <w:szCs w:val="24"/>
        </w:rPr>
        <w:t>Act of 2002</w:t>
      </w:r>
    </w:p>
    <w:p w:rsidR="005C4CBE" w:rsidRPr="00A242F5" w:rsidRDefault="005C4CBE" w:rsidP="00A242F5">
      <w:pPr>
        <w:pStyle w:val="ListParagraph"/>
        <w:spacing w:line="480" w:lineRule="auto"/>
        <w:ind w:left="1440"/>
        <w:jc w:val="both"/>
        <w:rPr>
          <w:rFonts w:ascii="Times New Roman" w:hAnsi="Times New Roman" w:cs="Times New Roman"/>
          <w:sz w:val="24"/>
          <w:szCs w:val="24"/>
        </w:rPr>
      </w:pPr>
      <w:r w:rsidRPr="00A242F5">
        <w:rPr>
          <w:rFonts w:ascii="Times New Roman" w:hAnsi="Times New Roman" w:cs="Times New Roman"/>
          <w:sz w:val="24"/>
          <w:szCs w:val="24"/>
        </w:rPr>
        <w:t>Altering, destroying, concealing or falsifying records or documents with the intent to influence a federal investigation or bankruptcy case is subject to fines and up to 20 years imprisonment. New audit workpapers must be retained for five years. Any person who knowingly defrauds shareholders of publicly traded companies is subject to fines or imprisonment.</w:t>
      </w:r>
      <w:r w:rsidR="00177461" w:rsidRPr="00A242F5">
        <w:rPr>
          <w:rFonts w:ascii="Times New Roman" w:hAnsi="Times New Roman" w:cs="Times New Roman"/>
          <w:sz w:val="24"/>
          <w:szCs w:val="24"/>
        </w:rPr>
        <w:t xml:space="preserve"> It describes specific criminal penalties for manipulation, destruction or alteration of financial records or other interference with investigations, while providing certain protections for whistle-blowers.</w:t>
      </w:r>
    </w:p>
    <w:p w:rsidR="00DF44C8" w:rsidRPr="00A242F5" w:rsidRDefault="00DF44C8" w:rsidP="00A242F5">
      <w:pPr>
        <w:pStyle w:val="ListParagraph"/>
        <w:spacing w:line="480" w:lineRule="auto"/>
        <w:jc w:val="both"/>
        <w:rPr>
          <w:rFonts w:ascii="Times New Roman" w:hAnsi="Times New Roman" w:cs="Times New Roman"/>
          <w:sz w:val="24"/>
          <w:szCs w:val="24"/>
        </w:rPr>
      </w:pPr>
    </w:p>
    <w:p w:rsidR="00311BE8" w:rsidRPr="00A242F5" w:rsidRDefault="00311BE8" w:rsidP="00A242F5">
      <w:pPr>
        <w:pStyle w:val="ListParagraph"/>
        <w:numPr>
          <w:ilvl w:val="0"/>
          <w:numId w:val="4"/>
        </w:numPr>
        <w:spacing w:line="480" w:lineRule="auto"/>
        <w:jc w:val="both"/>
        <w:rPr>
          <w:rFonts w:ascii="Times New Roman" w:hAnsi="Times New Roman" w:cs="Times New Roman"/>
          <w:sz w:val="24"/>
          <w:szCs w:val="24"/>
        </w:rPr>
      </w:pPr>
      <w:r w:rsidRPr="00A242F5">
        <w:rPr>
          <w:rFonts w:ascii="Times New Roman" w:hAnsi="Times New Roman" w:cs="Times New Roman"/>
          <w:b/>
          <w:bCs/>
          <w:sz w:val="24"/>
          <w:szCs w:val="24"/>
        </w:rPr>
        <w:t>Commission Resources and Authority</w:t>
      </w:r>
    </w:p>
    <w:p w:rsidR="00311BE8" w:rsidRPr="00A242F5" w:rsidRDefault="0098745B" w:rsidP="00A242F5">
      <w:pPr>
        <w:pStyle w:val="ListParagraph"/>
        <w:spacing w:line="480" w:lineRule="auto"/>
        <w:ind w:left="1440"/>
        <w:jc w:val="both"/>
        <w:rPr>
          <w:rFonts w:ascii="Times New Roman" w:hAnsi="Times New Roman" w:cs="Times New Roman"/>
          <w:sz w:val="24"/>
          <w:szCs w:val="24"/>
        </w:rPr>
      </w:pPr>
      <w:r w:rsidRPr="00A242F5">
        <w:rPr>
          <w:rFonts w:ascii="Times New Roman" w:hAnsi="Times New Roman" w:cs="Times New Roman"/>
          <w:sz w:val="24"/>
          <w:szCs w:val="24"/>
        </w:rPr>
        <w:t>This act</w:t>
      </w:r>
      <w:r w:rsidR="00311BE8" w:rsidRPr="00A242F5">
        <w:rPr>
          <w:rFonts w:ascii="Times New Roman" w:hAnsi="Times New Roman" w:cs="Times New Roman"/>
          <w:sz w:val="24"/>
          <w:szCs w:val="24"/>
        </w:rPr>
        <w:t xml:space="preserve"> defines practices to restore investor confidence in securities analysts. It also defines the SEC's authority to censure or bar securities professionals from practice and defines conditions under which a person can be barred from practicing as a broker, advisor, or dealer.</w:t>
      </w:r>
    </w:p>
    <w:p w:rsidR="00311BE8" w:rsidRPr="005C4CBE" w:rsidRDefault="00311BE8" w:rsidP="005C4CBE">
      <w:pPr>
        <w:pStyle w:val="ListParagraph"/>
        <w:spacing w:line="480" w:lineRule="auto"/>
        <w:jc w:val="both"/>
        <w:rPr>
          <w:rFonts w:ascii="Times New Roman" w:hAnsi="Times New Roman" w:cs="Times New Roman"/>
          <w:sz w:val="24"/>
          <w:szCs w:val="24"/>
        </w:rPr>
      </w:pPr>
      <w:bookmarkStart w:id="0" w:name="_GoBack"/>
      <w:bookmarkEnd w:id="0"/>
    </w:p>
    <w:p w:rsidR="00E63203" w:rsidRPr="009646A7" w:rsidRDefault="00E63203" w:rsidP="009646A7">
      <w:pPr>
        <w:pStyle w:val="ListParagraph"/>
        <w:spacing w:line="480" w:lineRule="auto"/>
        <w:jc w:val="both"/>
        <w:rPr>
          <w:rFonts w:ascii="Times New Roman" w:hAnsi="Times New Roman" w:cs="Times New Roman"/>
          <w:sz w:val="24"/>
          <w:szCs w:val="24"/>
        </w:rPr>
      </w:pPr>
    </w:p>
    <w:sectPr w:rsidR="00E63203" w:rsidRPr="009646A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262" w:rsidRDefault="00610262" w:rsidP="0015260D">
      <w:pPr>
        <w:spacing w:after="0" w:line="240" w:lineRule="auto"/>
      </w:pPr>
      <w:r>
        <w:separator/>
      </w:r>
    </w:p>
  </w:endnote>
  <w:endnote w:type="continuationSeparator" w:id="0">
    <w:p w:rsidR="00610262" w:rsidRDefault="00610262" w:rsidP="0015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03" w:rsidRDefault="00E63203">
    <w:pPr>
      <w:pStyle w:val="Footer"/>
    </w:pPr>
    <w:r>
      <w:t>UDOH, EDIDIONGABASI EKONG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262" w:rsidRDefault="00610262" w:rsidP="0015260D">
      <w:pPr>
        <w:spacing w:after="0" w:line="240" w:lineRule="auto"/>
      </w:pPr>
      <w:r>
        <w:separator/>
      </w:r>
    </w:p>
  </w:footnote>
  <w:footnote w:type="continuationSeparator" w:id="0">
    <w:p w:rsidR="00610262" w:rsidRDefault="00610262" w:rsidP="00152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FDE"/>
    <w:multiLevelType w:val="hybridMultilevel"/>
    <w:tmpl w:val="1588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943B2"/>
    <w:multiLevelType w:val="hybridMultilevel"/>
    <w:tmpl w:val="82021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CE5F5C"/>
    <w:multiLevelType w:val="hybridMultilevel"/>
    <w:tmpl w:val="EF66C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E2F85"/>
    <w:multiLevelType w:val="multilevel"/>
    <w:tmpl w:val="9B1E6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0D"/>
    <w:rsid w:val="00043913"/>
    <w:rsid w:val="00135D57"/>
    <w:rsid w:val="0015260D"/>
    <w:rsid w:val="0016565A"/>
    <w:rsid w:val="00177461"/>
    <w:rsid w:val="00265DD6"/>
    <w:rsid w:val="002979CF"/>
    <w:rsid w:val="002C78A9"/>
    <w:rsid w:val="00311BE8"/>
    <w:rsid w:val="003462D4"/>
    <w:rsid w:val="00457ACB"/>
    <w:rsid w:val="005C4CBE"/>
    <w:rsid w:val="005E3284"/>
    <w:rsid w:val="00610262"/>
    <w:rsid w:val="007754EB"/>
    <w:rsid w:val="0079052F"/>
    <w:rsid w:val="008019D1"/>
    <w:rsid w:val="00862B3D"/>
    <w:rsid w:val="008C200A"/>
    <w:rsid w:val="009646A7"/>
    <w:rsid w:val="00983E17"/>
    <w:rsid w:val="0098745B"/>
    <w:rsid w:val="00A242F5"/>
    <w:rsid w:val="00AB2A3E"/>
    <w:rsid w:val="00B249D2"/>
    <w:rsid w:val="00BC72AD"/>
    <w:rsid w:val="00C147C6"/>
    <w:rsid w:val="00D014D6"/>
    <w:rsid w:val="00D53CCC"/>
    <w:rsid w:val="00DB673D"/>
    <w:rsid w:val="00DF3B00"/>
    <w:rsid w:val="00DF44C8"/>
    <w:rsid w:val="00E63203"/>
    <w:rsid w:val="00E975FD"/>
    <w:rsid w:val="00EC18E0"/>
    <w:rsid w:val="00EC475C"/>
    <w:rsid w:val="00F73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0D"/>
  </w:style>
  <w:style w:type="paragraph" w:styleId="Footer">
    <w:name w:val="footer"/>
    <w:basedOn w:val="Normal"/>
    <w:link w:val="FooterChar"/>
    <w:uiPriority w:val="99"/>
    <w:unhideWhenUsed/>
    <w:rsid w:val="0015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0D"/>
  </w:style>
  <w:style w:type="character" w:styleId="Hyperlink">
    <w:name w:val="Hyperlink"/>
    <w:basedOn w:val="DefaultParagraphFont"/>
    <w:uiPriority w:val="99"/>
    <w:unhideWhenUsed/>
    <w:rsid w:val="002979CF"/>
    <w:rPr>
      <w:color w:val="0000FF" w:themeColor="hyperlink"/>
      <w:u w:val="single"/>
    </w:rPr>
  </w:style>
  <w:style w:type="paragraph" w:styleId="ListParagraph">
    <w:name w:val="List Paragraph"/>
    <w:basedOn w:val="Normal"/>
    <w:uiPriority w:val="34"/>
    <w:qFormat/>
    <w:rsid w:val="00983E17"/>
    <w:pPr>
      <w:ind w:left="720"/>
      <w:contextualSpacing/>
    </w:pPr>
  </w:style>
  <w:style w:type="paragraph" w:styleId="NormalWeb">
    <w:name w:val="Normal (Web)"/>
    <w:basedOn w:val="Normal"/>
    <w:uiPriority w:val="99"/>
    <w:semiHidden/>
    <w:unhideWhenUsed/>
    <w:rsid w:val="00EC475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0D"/>
  </w:style>
  <w:style w:type="paragraph" w:styleId="Footer">
    <w:name w:val="footer"/>
    <w:basedOn w:val="Normal"/>
    <w:link w:val="FooterChar"/>
    <w:uiPriority w:val="99"/>
    <w:unhideWhenUsed/>
    <w:rsid w:val="0015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0D"/>
  </w:style>
  <w:style w:type="character" w:styleId="Hyperlink">
    <w:name w:val="Hyperlink"/>
    <w:basedOn w:val="DefaultParagraphFont"/>
    <w:uiPriority w:val="99"/>
    <w:unhideWhenUsed/>
    <w:rsid w:val="002979CF"/>
    <w:rPr>
      <w:color w:val="0000FF" w:themeColor="hyperlink"/>
      <w:u w:val="single"/>
    </w:rPr>
  </w:style>
  <w:style w:type="paragraph" w:styleId="ListParagraph">
    <w:name w:val="List Paragraph"/>
    <w:basedOn w:val="Normal"/>
    <w:uiPriority w:val="34"/>
    <w:qFormat/>
    <w:rsid w:val="00983E17"/>
    <w:pPr>
      <w:ind w:left="720"/>
      <w:contextualSpacing/>
    </w:pPr>
  </w:style>
  <w:style w:type="paragraph" w:styleId="NormalWeb">
    <w:name w:val="Normal (Web)"/>
    <w:basedOn w:val="Normal"/>
    <w:uiPriority w:val="99"/>
    <w:semiHidden/>
    <w:unhideWhenUsed/>
    <w:rsid w:val="00EC475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2019">
      <w:bodyDiv w:val="1"/>
      <w:marLeft w:val="0"/>
      <w:marRight w:val="0"/>
      <w:marTop w:val="0"/>
      <w:marBottom w:val="0"/>
      <w:divBdr>
        <w:top w:val="none" w:sz="0" w:space="0" w:color="auto"/>
        <w:left w:val="none" w:sz="0" w:space="0" w:color="auto"/>
        <w:bottom w:val="none" w:sz="0" w:space="0" w:color="auto"/>
        <w:right w:val="none" w:sz="0" w:space="0" w:color="auto"/>
      </w:divBdr>
    </w:div>
    <w:div w:id="1660957966">
      <w:bodyDiv w:val="1"/>
      <w:marLeft w:val="0"/>
      <w:marRight w:val="0"/>
      <w:marTop w:val="0"/>
      <w:marBottom w:val="0"/>
      <w:divBdr>
        <w:top w:val="none" w:sz="0" w:space="0" w:color="auto"/>
        <w:left w:val="none" w:sz="0" w:space="0" w:color="auto"/>
        <w:bottom w:val="none" w:sz="0" w:space="0" w:color="auto"/>
        <w:right w:val="none" w:sz="0" w:space="0" w:color="auto"/>
      </w:divBdr>
      <w:divsChild>
        <w:div w:id="583803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States_Sen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United_States_House_of_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30</cp:revision>
  <dcterms:created xsi:type="dcterms:W3CDTF">2018-10-14T09:30:00Z</dcterms:created>
  <dcterms:modified xsi:type="dcterms:W3CDTF">2018-10-14T05:05:00Z</dcterms:modified>
</cp:coreProperties>
</file>