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E1F8" w14:textId="12FBF4DC" w:rsidR="0021136A" w:rsidRDefault="0021136A">
      <w:pPr>
        <w:rPr>
          <w:rFonts w:ascii="Times New Roman" w:hAnsi="Times New Roman" w:cs="Times New Roman"/>
          <w:b/>
        </w:rPr>
      </w:pPr>
      <w:r>
        <w:rPr>
          <w:rFonts w:ascii="Times New Roman" w:hAnsi="Times New Roman" w:cs="Times New Roman"/>
          <w:b/>
        </w:rPr>
        <w:t>NAME: AMBAIOWEI ANGEL EBIKIO</w:t>
      </w:r>
    </w:p>
    <w:p w14:paraId="1245989A" w14:textId="3A0E8216" w:rsidR="0021136A" w:rsidRDefault="0021136A">
      <w:pPr>
        <w:rPr>
          <w:rFonts w:ascii="Times New Roman" w:hAnsi="Times New Roman" w:cs="Times New Roman"/>
          <w:b/>
        </w:rPr>
      </w:pPr>
      <w:r>
        <w:rPr>
          <w:rFonts w:ascii="Times New Roman" w:hAnsi="Times New Roman" w:cs="Times New Roman"/>
          <w:b/>
        </w:rPr>
        <w:t>MATRIC NUMBER: 17/SMS02/010</w:t>
      </w:r>
    </w:p>
    <w:p w14:paraId="66ED5624" w14:textId="20BDAAD8" w:rsidR="0021136A" w:rsidRDefault="0021136A">
      <w:pPr>
        <w:rPr>
          <w:rFonts w:ascii="Times New Roman" w:hAnsi="Times New Roman" w:cs="Times New Roman"/>
          <w:b/>
        </w:rPr>
      </w:pPr>
      <w:r>
        <w:rPr>
          <w:rFonts w:ascii="Times New Roman" w:hAnsi="Times New Roman" w:cs="Times New Roman"/>
          <w:b/>
        </w:rPr>
        <w:t>DEPARTMENT: ACCOUNTING</w:t>
      </w:r>
    </w:p>
    <w:p w14:paraId="59A16C1E" w14:textId="274FE22F" w:rsidR="0021136A" w:rsidRPr="0021136A" w:rsidRDefault="0021136A">
      <w:pPr>
        <w:rPr>
          <w:rFonts w:ascii="Times New Roman" w:hAnsi="Times New Roman" w:cs="Times New Roman"/>
          <w:b/>
        </w:rPr>
      </w:pPr>
      <w:r>
        <w:rPr>
          <w:rFonts w:ascii="Times New Roman" w:hAnsi="Times New Roman" w:cs="Times New Roman"/>
          <w:b/>
        </w:rPr>
        <w:t>COURSE CODE: ACC 205</w:t>
      </w:r>
      <w:bookmarkStart w:id="0" w:name="_GoBack"/>
      <w:bookmarkEnd w:id="0"/>
    </w:p>
    <w:p w14:paraId="3F3FEBCB" w14:textId="77777777" w:rsidR="0021136A" w:rsidRDefault="0021136A">
      <w:pPr>
        <w:rPr>
          <w:rFonts w:ascii="Times New Roman" w:hAnsi="Times New Roman" w:cs="Times New Roman"/>
          <w:b/>
          <w:u w:val="single"/>
        </w:rPr>
      </w:pPr>
    </w:p>
    <w:p w14:paraId="34650233" w14:textId="77777777" w:rsidR="00BE5174" w:rsidRPr="00BE5174" w:rsidRDefault="00BE5174">
      <w:pPr>
        <w:rPr>
          <w:rFonts w:ascii="Times New Roman" w:hAnsi="Times New Roman" w:cs="Times New Roman"/>
          <w:b/>
          <w:u w:val="single"/>
        </w:rPr>
      </w:pPr>
      <w:r w:rsidRPr="00BE5174">
        <w:rPr>
          <w:rFonts w:ascii="Times New Roman" w:hAnsi="Times New Roman" w:cs="Times New Roman"/>
          <w:b/>
          <w:u w:val="single"/>
        </w:rPr>
        <w:t>QUESTION:</w:t>
      </w:r>
    </w:p>
    <w:p w14:paraId="22123F30" w14:textId="77777777" w:rsidR="00BE5174" w:rsidRDefault="00BE5174">
      <w:pPr>
        <w:rPr>
          <w:rFonts w:ascii="Times New Roman" w:hAnsi="Times New Roman" w:cs="Times New Roman"/>
        </w:rPr>
      </w:pPr>
    </w:p>
    <w:p w14:paraId="310ED40E" w14:textId="77777777" w:rsidR="00B16672" w:rsidRDefault="00BE5174" w:rsidP="00B16672">
      <w:pPr>
        <w:spacing w:line="480" w:lineRule="auto"/>
        <w:rPr>
          <w:rFonts w:ascii="Times New Roman" w:hAnsi="Times New Roman" w:cs="Times New Roman"/>
        </w:rPr>
      </w:pPr>
      <w:r>
        <w:rPr>
          <w:rFonts w:ascii="Times New Roman" w:hAnsi="Times New Roman" w:cs="Times New Roman"/>
        </w:rPr>
        <w:t>What are the main governance asp</w:t>
      </w:r>
      <w:r w:rsidR="00B16672">
        <w:rPr>
          <w:rFonts w:ascii="Times New Roman" w:hAnsi="Times New Roman" w:cs="Times New Roman"/>
        </w:rPr>
        <w:t>ects of the Sarbanes-Oxley Act?</w:t>
      </w:r>
    </w:p>
    <w:p w14:paraId="20E9D8BB" w14:textId="77777777" w:rsidR="00B16672" w:rsidRDefault="00B16672" w:rsidP="00B16672">
      <w:pPr>
        <w:spacing w:line="480" w:lineRule="auto"/>
        <w:rPr>
          <w:rFonts w:ascii="Times New Roman" w:hAnsi="Times New Roman" w:cs="Times New Roman"/>
        </w:rPr>
      </w:pPr>
    </w:p>
    <w:p w14:paraId="462C47E3" w14:textId="77777777" w:rsidR="009E11E0" w:rsidRDefault="00B16672" w:rsidP="00D81665">
      <w:pPr>
        <w:spacing w:line="480" w:lineRule="auto"/>
        <w:rPr>
          <w:rFonts w:ascii="Times New Roman" w:hAnsi="Times New Roman" w:cs="Times New Roman"/>
        </w:rPr>
      </w:pPr>
      <w:r>
        <w:rPr>
          <w:rFonts w:ascii="Times New Roman" w:hAnsi="Times New Roman" w:cs="Times New Roman"/>
        </w:rPr>
        <w:t>The Sarbanes-Oxley Act of 2002, also known as the “Public Company Accounting Reform and Investor Protection Act</w:t>
      </w:r>
      <w:r w:rsidR="004F3781">
        <w:rPr>
          <w:rFonts w:ascii="Times New Roman" w:hAnsi="Times New Roman" w:cs="Times New Roman"/>
        </w:rPr>
        <w:t>” (in the S</w:t>
      </w:r>
      <w:r w:rsidR="004A4155">
        <w:rPr>
          <w:rFonts w:ascii="Times New Roman" w:hAnsi="Times New Roman" w:cs="Times New Roman"/>
        </w:rPr>
        <w:t>enate</w:t>
      </w:r>
      <w:r w:rsidR="004F3781">
        <w:rPr>
          <w:rFonts w:ascii="Times New Roman" w:hAnsi="Times New Roman" w:cs="Times New Roman"/>
        </w:rPr>
        <w:t xml:space="preserve">) and “Corporate and Auditing Accountability Responsibility, and Transparency Act” (in the House) and more commonly called Sarbanes-Oxley, </w:t>
      </w:r>
      <w:proofErr w:type="spellStart"/>
      <w:r w:rsidR="004F3781">
        <w:rPr>
          <w:rFonts w:ascii="Times New Roman" w:hAnsi="Times New Roman" w:cs="Times New Roman"/>
        </w:rPr>
        <w:t>Sarbox</w:t>
      </w:r>
      <w:proofErr w:type="spellEnd"/>
      <w:r w:rsidR="004F3781">
        <w:rPr>
          <w:rFonts w:ascii="Times New Roman" w:hAnsi="Times New Roman" w:cs="Times New Roman"/>
        </w:rPr>
        <w:t xml:space="preserve"> or SOX, is a United States federal law that set new or expanded requirements for all U.S. public company boards, management and public accounting firms. A</w:t>
      </w:r>
      <w:r w:rsidR="00B912D6">
        <w:rPr>
          <w:rFonts w:ascii="Times New Roman" w:hAnsi="Times New Roman" w:cs="Times New Roman"/>
        </w:rPr>
        <w:t xml:space="preserve"> number of provisions of the act also apply to privately held companies, such as the willful destruction of evidence to impede</w:t>
      </w:r>
      <w:r w:rsidR="00C165AE">
        <w:rPr>
          <w:rFonts w:ascii="Times New Roman" w:hAnsi="Times New Roman" w:cs="Times New Roman"/>
        </w:rPr>
        <w:t xml:space="preserve"> a federal investigation. The Sa</w:t>
      </w:r>
      <w:r w:rsidR="00B912D6">
        <w:rPr>
          <w:rFonts w:ascii="Times New Roman" w:hAnsi="Times New Roman" w:cs="Times New Roman"/>
        </w:rPr>
        <w:t>rbanes-Oxley Act specifically regulates</w:t>
      </w:r>
      <w:r w:rsidR="009E11E0">
        <w:rPr>
          <w:rFonts w:ascii="Times New Roman" w:hAnsi="Times New Roman" w:cs="Times New Roman"/>
        </w:rPr>
        <w:t xml:space="preserve"> markets, brokers, dealers, accounting and auditing, on-going government and shareholder disclosure by reporting companies, insider trading, anti-fraud, proxy regulation and so forth. </w:t>
      </w:r>
      <w:r w:rsidR="00D81665">
        <w:rPr>
          <w:rFonts w:ascii="Times New Roman" w:hAnsi="Times New Roman" w:cs="Times New Roman"/>
        </w:rPr>
        <w:t>The six main areas of the act are as follows:</w:t>
      </w:r>
    </w:p>
    <w:p w14:paraId="2BCEB405" w14:textId="77777777" w:rsidR="003C51E4" w:rsidRDefault="003C51E4" w:rsidP="003C51E4">
      <w:pPr>
        <w:pStyle w:val="ListParagraph"/>
        <w:numPr>
          <w:ilvl w:val="0"/>
          <w:numId w:val="7"/>
        </w:numPr>
        <w:spacing w:line="480" w:lineRule="auto"/>
        <w:rPr>
          <w:rFonts w:ascii="Times New Roman" w:hAnsi="Times New Roman" w:cs="Times New Roman"/>
        </w:rPr>
      </w:pPr>
      <w:r w:rsidRPr="00C165AE">
        <w:rPr>
          <w:rFonts w:ascii="Times New Roman" w:hAnsi="Times New Roman" w:cs="Times New Roman"/>
          <w:u w:val="single"/>
        </w:rPr>
        <w:t>Oversight Board</w:t>
      </w:r>
      <w:r w:rsidRPr="003C51E4">
        <w:rPr>
          <w:rFonts w:ascii="Times New Roman" w:hAnsi="Times New Roman" w:cs="Times New Roman"/>
        </w:rPr>
        <w:t>: T</w:t>
      </w:r>
      <w:r w:rsidR="00D81665" w:rsidRPr="003C51E4">
        <w:rPr>
          <w:rFonts w:ascii="Times New Roman" w:hAnsi="Times New Roman" w:cs="Times New Roman"/>
        </w:rPr>
        <w:t>he Public C</w:t>
      </w:r>
      <w:r w:rsidRPr="003C51E4">
        <w:rPr>
          <w:rFonts w:ascii="Times New Roman" w:hAnsi="Times New Roman" w:cs="Times New Roman"/>
        </w:rPr>
        <w:t xml:space="preserve">ompany Accounting Oversight Board was created to oversee the audit of public companies. This board sets standards and rules for audit reports. All accounting firms that audit public companies must register with the oversight board. It also inspects, investigates, and enforces compliance from these registered firms. Among other things, this new board will: </w:t>
      </w:r>
    </w:p>
    <w:p w14:paraId="33DCF484" w14:textId="77777777" w:rsidR="003C51E4" w:rsidRDefault="003C51E4" w:rsidP="003C51E4">
      <w:pPr>
        <w:pStyle w:val="ListParagraph"/>
        <w:numPr>
          <w:ilvl w:val="0"/>
          <w:numId w:val="8"/>
        </w:numPr>
        <w:spacing w:line="480" w:lineRule="auto"/>
        <w:rPr>
          <w:rFonts w:ascii="Times New Roman" w:hAnsi="Times New Roman" w:cs="Times New Roman"/>
        </w:rPr>
      </w:pPr>
      <w:r>
        <w:rPr>
          <w:rFonts w:ascii="Times New Roman" w:hAnsi="Times New Roman" w:cs="Times New Roman"/>
        </w:rPr>
        <w:t>Be responsible to the SEC.</w:t>
      </w:r>
    </w:p>
    <w:p w14:paraId="3E9D377B" w14:textId="77777777" w:rsidR="003C51E4" w:rsidRDefault="003C51E4" w:rsidP="003C51E4">
      <w:pPr>
        <w:pStyle w:val="ListParagraph"/>
        <w:numPr>
          <w:ilvl w:val="0"/>
          <w:numId w:val="8"/>
        </w:numPr>
        <w:spacing w:line="480" w:lineRule="auto"/>
        <w:rPr>
          <w:rFonts w:ascii="Times New Roman" w:hAnsi="Times New Roman" w:cs="Times New Roman"/>
        </w:rPr>
      </w:pPr>
      <w:r>
        <w:rPr>
          <w:rFonts w:ascii="Times New Roman" w:hAnsi="Times New Roman" w:cs="Times New Roman"/>
        </w:rPr>
        <w:lastRenderedPageBreak/>
        <w:t>Have supervisory powers over the audit process of publicly traded companies</w:t>
      </w:r>
      <w:r w:rsidR="005D1CEB">
        <w:rPr>
          <w:rFonts w:ascii="Times New Roman" w:hAnsi="Times New Roman" w:cs="Times New Roman"/>
        </w:rPr>
        <w:t>. Thus it is not intended to conflict with state regulation and supervision of accountants serving private clients.</w:t>
      </w:r>
    </w:p>
    <w:p w14:paraId="3066471F" w14:textId="77777777" w:rsidR="005D1CEB" w:rsidRDefault="005D1CEB" w:rsidP="003C51E4">
      <w:pPr>
        <w:pStyle w:val="ListParagraph"/>
        <w:numPr>
          <w:ilvl w:val="0"/>
          <w:numId w:val="8"/>
        </w:numPr>
        <w:spacing w:line="480" w:lineRule="auto"/>
        <w:rPr>
          <w:rFonts w:ascii="Times New Roman" w:hAnsi="Times New Roman" w:cs="Times New Roman"/>
        </w:rPr>
      </w:pPr>
      <w:r>
        <w:rPr>
          <w:rFonts w:ascii="Times New Roman" w:hAnsi="Times New Roman" w:cs="Times New Roman"/>
        </w:rPr>
        <w:t>Be made up of five persons each appointed for a five year term, two of whom will be CPA’s and three of whom cannot be CPA’s.</w:t>
      </w:r>
    </w:p>
    <w:p w14:paraId="5EC33724" w14:textId="77777777" w:rsidR="005D1CEB" w:rsidRDefault="005D1CEB" w:rsidP="003C51E4">
      <w:pPr>
        <w:pStyle w:val="ListParagraph"/>
        <w:numPr>
          <w:ilvl w:val="0"/>
          <w:numId w:val="8"/>
        </w:numPr>
        <w:spacing w:line="480" w:lineRule="auto"/>
        <w:rPr>
          <w:rFonts w:ascii="Times New Roman" w:hAnsi="Times New Roman" w:cs="Times New Roman"/>
        </w:rPr>
      </w:pPr>
      <w:r>
        <w:rPr>
          <w:rFonts w:ascii="Times New Roman" w:hAnsi="Times New Roman" w:cs="Times New Roman"/>
        </w:rPr>
        <w:t>Be funded by fees from all publicly traded companies thus better assuring its independence from the accounting industry.</w:t>
      </w:r>
    </w:p>
    <w:p w14:paraId="022759D7" w14:textId="77777777" w:rsidR="005D1CEB" w:rsidRDefault="005D1CEB" w:rsidP="005D1CEB">
      <w:pPr>
        <w:pStyle w:val="ListParagraph"/>
        <w:numPr>
          <w:ilvl w:val="0"/>
          <w:numId w:val="7"/>
        </w:numPr>
        <w:spacing w:line="480" w:lineRule="auto"/>
        <w:rPr>
          <w:rFonts w:ascii="Times New Roman" w:hAnsi="Times New Roman" w:cs="Times New Roman"/>
        </w:rPr>
      </w:pPr>
      <w:r w:rsidRPr="00C165AE">
        <w:rPr>
          <w:rFonts w:ascii="Times New Roman" w:hAnsi="Times New Roman" w:cs="Times New Roman"/>
          <w:u w:val="single"/>
        </w:rPr>
        <w:t>Auditor Independence</w:t>
      </w:r>
      <w:r>
        <w:rPr>
          <w:rFonts w:ascii="Times New Roman" w:hAnsi="Times New Roman" w:cs="Times New Roman"/>
        </w:rPr>
        <w:t>: Auditors now have a list of non-audit services they can</w:t>
      </w:r>
      <w:r w:rsidR="008A5892">
        <w:rPr>
          <w:rFonts w:ascii="Times New Roman" w:hAnsi="Times New Roman" w:cs="Times New Roman"/>
        </w:rPr>
        <w:t>’</w:t>
      </w:r>
      <w:r>
        <w:rPr>
          <w:rFonts w:ascii="Times New Roman" w:hAnsi="Times New Roman" w:cs="Times New Roman"/>
        </w:rPr>
        <w:t>t perform during an audit. The Act also imposes a one-year waiting period for audit firm employees who leave an accounting firm to become an executive for a former client. In addition, the former firm must wait one year before performing any audit services for the new employer. Among other things, the act:</w:t>
      </w:r>
    </w:p>
    <w:p w14:paraId="3AAE46F3" w14:textId="77777777" w:rsidR="008A5892" w:rsidRDefault="008A5892" w:rsidP="005D1CEB">
      <w:pPr>
        <w:pStyle w:val="ListParagraph"/>
        <w:numPr>
          <w:ilvl w:val="0"/>
          <w:numId w:val="10"/>
        </w:numPr>
        <w:spacing w:line="480" w:lineRule="auto"/>
        <w:rPr>
          <w:rFonts w:ascii="Times New Roman" w:hAnsi="Times New Roman" w:cs="Times New Roman"/>
        </w:rPr>
      </w:pPr>
      <w:r>
        <w:rPr>
          <w:rFonts w:ascii="Times New Roman" w:hAnsi="Times New Roman" w:cs="Times New Roman"/>
        </w:rPr>
        <w:t>Requires that all audit committee members must be independent directors and not affiliated with the company other than in their capacity as directors.</w:t>
      </w:r>
    </w:p>
    <w:p w14:paraId="4AE4BACF" w14:textId="77777777" w:rsidR="008A5892" w:rsidRDefault="008A5892" w:rsidP="005D1CEB">
      <w:pPr>
        <w:pStyle w:val="ListParagraph"/>
        <w:numPr>
          <w:ilvl w:val="0"/>
          <w:numId w:val="10"/>
        </w:numPr>
        <w:spacing w:line="480" w:lineRule="auto"/>
        <w:rPr>
          <w:rFonts w:ascii="Times New Roman" w:hAnsi="Times New Roman" w:cs="Times New Roman"/>
        </w:rPr>
      </w:pPr>
      <w:r>
        <w:rPr>
          <w:rFonts w:ascii="Times New Roman" w:hAnsi="Times New Roman" w:cs="Times New Roman"/>
        </w:rPr>
        <w:t>Makes the audit committee directly responsible for the appointment, compensation and oversight of work of the auditors.</w:t>
      </w:r>
    </w:p>
    <w:p w14:paraId="43DF8292" w14:textId="77777777" w:rsidR="005D1CEB" w:rsidRDefault="008A5892" w:rsidP="005D1CEB">
      <w:pPr>
        <w:pStyle w:val="ListParagraph"/>
        <w:numPr>
          <w:ilvl w:val="0"/>
          <w:numId w:val="10"/>
        </w:numPr>
        <w:spacing w:line="480" w:lineRule="auto"/>
        <w:rPr>
          <w:rFonts w:ascii="Times New Roman" w:hAnsi="Times New Roman" w:cs="Times New Roman"/>
        </w:rPr>
      </w:pPr>
      <w:r>
        <w:rPr>
          <w:rFonts w:ascii="Times New Roman" w:hAnsi="Times New Roman" w:cs="Times New Roman"/>
        </w:rPr>
        <w:t>Requires that audit committee members must have free reign to interview and question auditors without the company’s executive officers being present.</w:t>
      </w:r>
    </w:p>
    <w:p w14:paraId="70A1000A" w14:textId="77777777" w:rsidR="008A5892" w:rsidRDefault="008A5892" w:rsidP="005D1CEB">
      <w:pPr>
        <w:pStyle w:val="ListParagraph"/>
        <w:numPr>
          <w:ilvl w:val="0"/>
          <w:numId w:val="10"/>
        </w:numPr>
        <w:spacing w:line="480" w:lineRule="auto"/>
        <w:rPr>
          <w:rFonts w:ascii="Times New Roman" w:hAnsi="Times New Roman" w:cs="Times New Roman"/>
        </w:rPr>
      </w:pPr>
      <w:r>
        <w:rPr>
          <w:rFonts w:ascii="Times New Roman" w:hAnsi="Times New Roman" w:cs="Times New Roman"/>
        </w:rPr>
        <w:t>Requires that the audit committee develop procedures for addressing complaints regarding the audit process.</w:t>
      </w:r>
    </w:p>
    <w:p w14:paraId="6B8B7A23" w14:textId="77777777" w:rsidR="008A5892" w:rsidRDefault="008A5892" w:rsidP="005D1CEB">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Requires that the audit committee </w:t>
      </w:r>
      <w:proofErr w:type="gramStart"/>
      <w:r>
        <w:rPr>
          <w:rFonts w:ascii="Times New Roman" w:hAnsi="Times New Roman" w:cs="Times New Roman"/>
        </w:rPr>
        <w:t>includes</w:t>
      </w:r>
      <w:proofErr w:type="gramEnd"/>
      <w:r>
        <w:rPr>
          <w:rFonts w:ascii="Times New Roman" w:hAnsi="Times New Roman" w:cs="Times New Roman"/>
        </w:rPr>
        <w:t xml:space="preserve"> at least one competent financial person.</w:t>
      </w:r>
    </w:p>
    <w:p w14:paraId="60D99051" w14:textId="77777777" w:rsidR="008A5892" w:rsidRDefault="008A5892" w:rsidP="005D1CEB">
      <w:pPr>
        <w:pStyle w:val="ListParagraph"/>
        <w:numPr>
          <w:ilvl w:val="0"/>
          <w:numId w:val="10"/>
        </w:numPr>
        <w:spacing w:line="480" w:lineRule="auto"/>
        <w:rPr>
          <w:rFonts w:ascii="Times New Roman" w:hAnsi="Times New Roman" w:cs="Times New Roman"/>
        </w:rPr>
      </w:pPr>
      <w:r>
        <w:rPr>
          <w:rFonts w:ascii="Times New Roman" w:hAnsi="Times New Roman" w:cs="Times New Roman"/>
        </w:rPr>
        <w:t>Bars members of the audit committee from accepting consulting fees from the company.</w:t>
      </w:r>
    </w:p>
    <w:p w14:paraId="15825A28" w14:textId="77777777" w:rsidR="008A5892" w:rsidRDefault="008A5892" w:rsidP="008A5892">
      <w:pPr>
        <w:pStyle w:val="ListParagraph"/>
        <w:numPr>
          <w:ilvl w:val="0"/>
          <w:numId w:val="7"/>
        </w:numPr>
        <w:spacing w:line="480" w:lineRule="auto"/>
        <w:rPr>
          <w:rFonts w:ascii="Times New Roman" w:hAnsi="Times New Roman" w:cs="Times New Roman"/>
        </w:rPr>
      </w:pPr>
      <w:r w:rsidRPr="00C165AE">
        <w:rPr>
          <w:rFonts w:ascii="Times New Roman" w:hAnsi="Times New Roman" w:cs="Times New Roman"/>
          <w:u w:val="single"/>
        </w:rPr>
        <w:t>Greater financial disclosures</w:t>
      </w:r>
      <w:r>
        <w:rPr>
          <w:rFonts w:ascii="Times New Roman" w:hAnsi="Times New Roman" w:cs="Times New Roman"/>
        </w:rPr>
        <w:t>:</w:t>
      </w:r>
      <w:r w:rsidR="0061207F">
        <w:rPr>
          <w:rFonts w:ascii="Times New Roman" w:hAnsi="Times New Roman" w:cs="Times New Roman"/>
        </w:rPr>
        <w:t xml:space="preserve"> transactions and relationships that are off-balance sheet but that may affect financial status now must be disclosed. Personal loans from a corporation to its executives are now largely prohibited. Annual reports must include a report stating the management is responsible for the internal control structure and procedures for financial reporting.</w:t>
      </w:r>
    </w:p>
    <w:p w14:paraId="44C96522" w14:textId="77777777" w:rsidR="0061207F" w:rsidRDefault="0061207F" w:rsidP="008A5892">
      <w:pPr>
        <w:pStyle w:val="ListParagraph"/>
        <w:numPr>
          <w:ilvl w:val="0"/>
          <w:numId w:val="7"/>
        </w:numPr>
        <w:spacing w:line="480" w:lineRule="auto"/>
        <w:rPr>
          <w:rFonts w:ascii="Times New Roman" w:hAnsi="Times New Roman" w:cs="Times New Roman"/>
        </w:rPr>
      </w:pPr>
      <w:r w:rsidRPr="00C165AE">
        <w:rPr>
          <w:rFonts w:ascii="Times New Roman" w:hAnsi="Times New Roman" w:cs="Times New Roman"/>
          <w:u w:val="single"/>
        </w:rPr>
        <w:t>Conflict of interest disclosures for analysts</w:t>
      </w:r>
      <w:r>
        <w:rPr>
          <w:rFonts w:ascii="Times New Roman" w:hAnsi="Times New Roman" w:cs="Times New Roman"/>
        </w:rPr>
        <w:t>: conflict of interest disclosures now need to be made by research analysts who make public appearances or offer research reports. These disclosures need to contain certain information about the company that is the subject of the appearance or report. The analyst has to report whether he or she holds any securities in the company or received corporate compensation. Brokers and dealers have to disclose if the public company is a client.</w:t>
      </w:r>
    </w:p>
    <w:p w14:paraId="7D399075" w14:textId="77777777" w:rsidR="0061207F" w:rsidRDefault="0061207F" w:rsidP="008A5892">
      <w:pPr>
        <w:pStyle w:val="ListParagraph"/>
        <w:numPr>
          <w:ilvl w:val="0"/>
          <w:numId w:val="7"/>
        </w:numPr>
        <w:spacing w:line="480" w:lineRule="auto"/>
        <w:rPr>
          <w:rFonts w:ascii="Times New Roman" w:hAnsi="Times New Roman" w:cs="Times New Roman"/>
        </w:rPr>
      </w:pPr>
      <w:r w:rsidRPr="00C165AE">
        <w:rPr>
          <w:rFonts w:ascii="Times New Roman" w:hAnsi="Times New Roman" w:cs="Times New Roman"/>
          <w:u w:val="single"/>
        </w:rPr>
        <w:t>Attorney’s Responsibilities</w:t>
      </w:r>
      <w:r>
        <w:rPr>
          <w:rFonts w:ascii="Times New Roman" w:hAnsi="Times New Roman" w:cs="Times New Roman"/>
        </w:rPr>
        <w:t>: There are now minimum standards of professional conduct for attorneys representing public companies before the SEC. these include a rule requiring an attorney to report securities violations to the CEO.</w:t>
      </w:r>
    </w:p>
    <w:p w14:paraId="2467C0CE" w14:textId="77777777" w:rsidR="00C165AE" w:rsidRDefault="00C165AE" w:rsidP="008A5892">
      <w:pPr>
        <w:pStyle w:val="ListParagraph"/>
        <w:numPr>
          <w:ilvl w:val="0"/>
          <w:numId w:val="7"/>
        </w:numPr>
        <w:spacing w:line="480" w:lineRule="auto"/>
        <w:rPr>
          <w:rFonts w:ascii="Times New Roman" w:hAnsi="Times New Roman" w:cs="Times New Roman"/>
        </w:rPr>
      </w:pPr>
      <w:r w:rsidRPr="00C165AE">
        <w:rPr>
          <w:rFonts w:ascii="Times New Roman" w:hAnsi="Times New Roman" w:cs="Times New Roman"/>
          <w:u w:val="single"/>
        </w:rPr>
        <w:t>Corporate and Criminal Fraud Accountability</w:t>
      </w:r>
      <w:r>
        <w:rPr>
          <w:rFonts w:ascii="Times New Roman" w:hAnsi="Times New Roman" w:cs="Times New Roman"/>
        </w:rPr>
        <w:t>: Altering, destroying, concealing or falsifying records or documents with the intent to influence a federal investigation or bankruptcy case is subject to fines and up to 20 years imprisonment. New audit work papers must be retained for five years. Any person who knowingly defrauds shareholders of publicly traded companies is subject to fines or imprisonment.</w:t>
      </w:r>
    </w:p>
    <w:p w14:paraId="3B5C72AE" w14:textId="77777777" w:rsidR="00C165AE" w:rsidRDefault="00C165AE" w:rsidP="00C165AE">
      <w:pPr>
        <w:spacing w:line="480" w:lineRule="auto"/>
        <w:rPr>
          <w:rFonts w:ascii="Times New Roman" w:hAnsi="Times New Roman" w:cs="Times New Roman"/>
        </w:rPr>
      </w:pPr>
      <w:r>
        <w:rPr>
          <w:rFonts w:ascii="Times New Roman" w:hAnsi="Times New Roman" w:cs="Times New Roman"/>
        </w:rPr>
        <w:t>Other SOX corporate governance guidelines include:</w:t>
      </w:r>
    </w:p>
    <w:p w14:paraId="64A860DD" w14:textId="77777777" w:rsidR="00C165AE" w:rsidRDefault="00C165AE" w:rsidP="00C165AE">
      <w:pPr>
        <w:pStyle w:val="ListParagraph"/>
        <w:numPr>
          <w:ilvl w:val="0"/>
          <w:numId w:val="12"/>
        </w:numPr>
        <w:spacing w:line="480" w:lineRule="auto"/>
        <w:rPr>
          <w:rFonts w:ascii="Times New Roman" w:hAnsi="Times New Roman" w:cs="Times New Roman"/>
        </w:rPr>
      </w:pPr>
      <w:r>
        <w:rPr>
          <w:rFonts w:ascii="Times New Roman" w:hAnsi="Times New Roman" w:cs="Times New Roman"/>
        </w:rPr>
        <w:t>An increase in the direct responsibility of senior corporate managers for the quality of their company’s financial reports and disclosures.</w:t>
      </w:r>
    </w:p>
    <w:p w14:paraId="2A98EE74" w14:textId="77777777" w:rsidR="00C165AE" w:rsidRPr="00C165AE" w:rsidRDefault="00C165AE" w:rsidP="00C165AE">
      <w:pPr>
        <w:pStyle w:val="ListParagraph"/>
        <w:numPr>
          <w:ilvl w:val="0"/>
          <w:numId w:val="12"/>
        </w:numPr>
        <w:spacing w:line="480" w:lineRule="auto"/>
        <w:rPr>
          <w:rFonts w:ascii="Times New Roman" w:hAnsi="Times New Roman" w:cs="Times New Roman"/>
        </w:rPr>
      </w:pPr>
      <w:r>
        <w:rPr>
          <w:rFonts w:ascii="Times New Roman" w:hAnsi="Times New Roman" w:cs="Times New Roman"/>
        </w:rPr>
        <w:t>Limitations on the types and nature of services that</w:t>
      </w:r>
      <w:r w:rsidR="003321D6">
        <w:rPr>
          <w:rFonts w:ascii="Times New Roman" w:hAnsi="Times New Roman" w:cs="Times New Roman"/>
        </w:rPr>
        <w:t xml:space="preserve"> auditors can provide to a publicly traded, audit client.</w:t>
      </w:r>
    </w:p>
    <w:p w14:paraId="4800AEC2" w14:textId="77777777" w:rsidR="00B16672" w:rsidRPr="00BE5174" w:rsidRDefault="00B16672" w:rsidP="00B16672">
      <w:pPr>
        <w:spacing w:line="480" w:lineRule="auto"/>
        <w:rPr>
          <w:rFonts w:ascii="Times New Roman" w:hAnsi="Times New Roman" w:cs="Times New Roman"/>
        </w:rPr>
      </w:pPr>
    </w:p>
    <w:sectPr w:rsidR="00B16672" w:rsidRPr="00BE5174" w:rsidSect="00BE5174">
      <w:pgSz w:w="12240" w:h="15840"/>
      <w:pgMar w:top="15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A1C"/>
    <w:multiLevelType w:val="hybridMultilevel"/>
    <w:tmpl w:val="4E60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2E39"/>
    <w:multiLevelType w:val="hybridMultilevel"/>
    <w:tmpl w:val="B59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3300D"/>
    <w:multiLevelType w:val="hybridMultilevel"/>
    <w:tmpl w:val="31D2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41924"/>
    <w:multiLevelType w:val="hybridMultilevel"/>
    <w:tmpl w:val="82A2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A23BD"/>
    <w:multiLevelType w:val="hybridMultilevel"/>
    <w:tmpl w:val="6D24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70C00"/>
    <w:multiLevelType w:val="hybridMultilevel"/>
    <w:tmpl w:val="21C8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02A23"/>
    <w:multiLevelType w:val="hybridMultilevel"/>
    <w:tmpl w:val="6CB0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60F1E"/>
    <w:multiLevelType w:val="hybridMultilevel"/>
    <w:tmpl w:val="466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1398C"/>
    <w:multiLevelType w:val="hybridMultilevel"/>
    <w:tmpl w:val="C91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D131C"/>
    <w:multiLevelType w:val="hybridMultilevel"/>
    <w:tmpl w:val="AC4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13C70"/>
    <w:multiLevelType w:val="hybridMultilevel"/>
    <w:tmpl w:val="93F6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C5586"/>
    <w:multiLevelType w:val="hybridMultilevel"/>
    <w:tmpl w:val="9A8A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6"/>
  </w:num>
  <w:num w:numId="6">
    <w:abstractNumId w:val="2"/>
  </w:num>
  <w:num w:numId="7">
    <w:abstractNumId w:val="10"/>
  </w:num>
  <w:num w:numId="8">
    <w:abstractNumId w:val="8"/>
  </w:num>
  <w:num w:numId="9">
    <w:abstractNumId w:val="1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74"/>
    <w:rsid w:val="0021136A"/>
    <w:rsid w:val="003321D6"/>
    <w:rsid w:val="003C51E4"/>
    <w:rsid w:val="004A4155"/>
    <w:rsid w:val="004F3781"/>
    <w:rsid w:val="005D1CEB"/>
    <w:rsid w:val="0061207F"/>
    <w:rsid w:val="0066253B"/>
    <w:rsid w:val="008A5892"/>
    <w:rsid w:val="009E11E0"/>
    <w:rsid w:val="00B16672"/>
    <w:rsid w:val="00B912D6"/>
    <w:rsid w:val="00BE5174"/>
    <w:rsid w:val="00C165AE"/>
    <w:rsid w:val="00D8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7D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9104-96A6-044B-8380-CC93A3BE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712</Words>
  <Characters>4060</Characters>
  <Application>Microsoft Macintosh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Airtel Oj Martins</dc:creator>
  <cp:keywords/>
  <dc:description/>
  <cp:lastModifiedBy>Aaa Airtel Oj Martins</cp:lastModifiedBy>
  <cp:revision>8</cp:revision>
  <dcterms:created xsi:type="dcterms:W3CDTF">2018-10-14T18:34:00Z</dcterms:created>
  <dcterms:modified xsi:type="dcterms:W3CDTF">2018-10-14T20:31:00Z</dcterms:modified>
</cp:coreProperties>
</file>