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SARBANES-OXLEY, CORPORATE GOVERNANCE, AND STRATEGIC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DIVIDEND DECISIONS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INTRODUCTION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The past decade brought to the public’s attention record-breaking bankruptcy filings in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The U.S.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While many of these failures occurred in association with the downturn in the market,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Many did not. Some, for example, were the result of significant fraud. Regardless of the causes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Of these substantial bankruptcies, and particularly in the wake of the Enron and WorldCom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Collapses in the early 2000s, a strong consensus emerged among policymakers and industry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Observers that existing management practices and government oversight were insufficient to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Promote a well-functioning and sound security market.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It is commonly understood that the separation of ownership and control leads to potential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Agency-related problems (see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Berle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and Means, 1932; Jensen, 1986; and Jensen and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Meckling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1976). these costs have persistently challenged market participants and regulators to engineer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Governance controls to mitigate any potential for managers to expropriate wealth from their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Stakeholders.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Independent of government regulation, external market pressures have forced firms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develop internal and external governance measures to allow a firm’s stakeholders to more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accurately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monitor and measure its performance. However, the perceived lapse in these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mechanisms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led the U.S. Congress to pass the Sarbanes-Oxley Act of 2002. Among other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requirements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>, the Sarbanes-Oxley Act demands firms to have audit committees comprised of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independent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directors and forces financial officers to certify that the firm’s financial statements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accurate. Moreover, the Sarbanes-Oxley Act created the Public Company Accounting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Oversight Board to oversee, </w:t>
      </w: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regulate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>, inspect, and discipline accounting firms in their roles as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lastRenderedPageBreak/>
        <w:t>auditors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Corporate governance, as defined by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Shleifer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Vishny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(1997), refers to the ways in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investors ensure that they will receive maximum return on their investments.1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Fundamental components of an effective governance structure include managerial ownership,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size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and composition of the board of directors, CEO and directors’ compensation schemes, audit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controls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>, and an external market for corporate control (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Keasey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and Wright, 1997). In general,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effective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governance controls agency conflicts between management and investors in two ways.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First, the free-cash flow problem of a firm can be reduced through dividend policy, stock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repurchases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>, capital structure decisions, and investment in long term projects. Second, the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likelihood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of management entrenchment can be reduced, thus strengthening shareholders’ rights.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The purpose of this paper is to investigate the impact of government regulation with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respect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to the Sarbanes-Oxley Act on the existing agency relation between corporate governance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measures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and dividend policy. Specifically, our research question is: Does the relation between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dividend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payout policies and various measures of governance and firm-specific characteristics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change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after the enactment of Sarbanes-Oxley? Empirical results show that prior to the Sarbanes-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Oxley Act, shareholders’ rights, board size, and the proportion of outside directors are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statistically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significant factors in explaining a firm’s dividend policy. Following Sarbanes-Oxley,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however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>, regulatory changes have structurally altered the impact that governance measures have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explaining dividend policies.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The paper is organized as follows. Section II reviews selected literature. Section III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discusses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and summarized the data and methodology, while Section IV presents the empirical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findings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and robustness tests. Section V provides concluding remarks.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lastRenderedPageBreak/>
        <w:t>1 Some other definitions of corporate governance are: “the design of institutions that induce or force management to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internalize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the welfare of stakeholders,” (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Tirole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, 2001) and “the complex set of constraints that shape the </w:t>
      </w:r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ex-post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bargaining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over quasi-rents generated by the firm.” </w:t>
      </w: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Zingales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>, 1998).</w:t>
      </w:r>
      <w:proofErr w:type="gramEnd"/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REVIEW OF SELECTED LITERATURE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Two significant agency costs affected by dividend policy are those associated with free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cash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flow and managerial entrenchment. The role of an effective corporate governance structure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to ensure that managerial decisions are continually monitored. This can be achieved internally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the monitoring and auditing of managers and externally via the market for corporate control.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To help mitigate agency costs associated with the free cash flow problem, dividends may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used to force managers to return to the capital market when they are faced with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valueincreasing</w:t>
      </w:r>
      <w:proofErr w:type="spellEnd"/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investment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opportunities (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Rozeff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>, 1982).2 Easterbrook (1984) echoes this view,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arguing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that investment bankers work on behalf of shareholders to monitor managers and ensure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sound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corporate governance. Similarly, Lloyd, Page, and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Jahera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(1989) find that greater market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scrutiny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>, measured by the number of analysts following a particular firm, is associated with a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higher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dividend payout.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Other research has focused on the importance of growth opportunities on dividend policy.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Wasteful spending on value-destroying projects is more likely to impact firms with </w:t>
      </w: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fewer growth</w:t>
      </w:r>
      <w:proofErr w:type="gramEnd"/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opportunities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>, while firms with substantial growth opportunities are likely to be investing in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positive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net present value projects. In support of this hypothesis,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Gaver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Gaver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(1993) find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lastRenderedPageBreak/>
        <w:t>that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dividends are inversely related to growth opportunities.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Shareholders’ rights have also been known to influence dividend policy. La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Porta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>, Lopez-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De Salinas,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Shleifer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Vishny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(2000) examine dividend policies across countries with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differing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legal protections. Globally, they find that those countries which provide stronger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protection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of minority shareholder rights have firms that pay higher dividends. Additionally,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high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growth firms are also shown to pay lower dividends in the countries with stronger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protection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>. In lieu of legal protection, another measure of shareholder rights is the Gompers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2 For a recent review of the theoretical and empirical research on dividends, see Bhattacharyya (2007).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Governance Index (Gompers, Ishii, and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Metrick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>, 2003).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Using this metric,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Jiraporn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Ning</w:t>
      </w:r>
      <w:proofErr w:type="spellEnd"/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(2006) find a positive relation between the Gompers Governance Index and dividend payout.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They conclude that shareholder rights have a significant influence on dividend payout ratios,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more restrictive shareholder rights being associated with higher dividend payout. This,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again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>, supports the view that firms that restrict shareholder rights cannot totally escape the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scrutiny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of the markets.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Another key component of effective corporate governance is mitigating problems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associated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with managerial entrenchment. The market for corporate control is one means for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monitoring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and disciplining management, thereby affecting agency costs and dividend payout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Jahera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and Page, 1991).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That is, one can argue that the most effective means for minimizing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agency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costs is for management to maximize firm value. By ensuring that a firm is fully valued,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firm becomes less of a takeover target. In other words, it is no longer a bargain. However,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agency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costs do indeed exist and many mangers seek to deter or block hostile takeovers by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lastRenderedPageBreak/>
        <w:t>adopting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antitakeover amendments (see Page,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Jahera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>, and Pugh, 1996). Proponents of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antitakeover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measures contend that such protection enable management to focus on longer run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decision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without the constant threat of a hostile takeover. Opponents argue that such measures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serve to entrench weak or ineffective management.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Alternatively,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Borokhovich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Brunarski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, Harman, and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Kehr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(2005) test the theory that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dividends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serve to reduce agency costs. They follow standard event study methodology to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examine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stock price reaction around dividend increase announcements. Controlling for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blockholders</w:t>
      </w:r>
      <w:proofErr w:type="spellEnd"/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and poison pills as measures of agency costs, they find no evidence that the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announcement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of a large dividend increase results in lower agency costs.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DATA and METHODOLOGY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A. Data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The primary focus of this paper is to investigate the impact of regulatory changes on the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relation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between a firm’s dividend policy and governance structure. To do so, we use data from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Investor Responsibility Research Center (IRRC) data files over the period 1998 - 2004.3 The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dataset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includes a number of measures of governance, such as the governance index (Gompers </w:t>
      </w:r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al.</w:t>
      </w:r>
      <w:r w:rsidRPr="00AB60A0">
        <w:rPr>
          <w:rFonts w:ascii="Times New Roman" w:hAnsi="Times New Roman" w:cs="Times New Roman"/>
          <w:color w:val="000000"/>
          <w:sz w:val="24"/>
          <w:szCs w:val="24"/>
        </w:rPr>
        <w:t>, 2003), the size of the firm’s board, the proportion of independent outside directors, and the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percent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of insider ownership. The percent of insider ownership is calculated from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ExecuComp</w:t>
      </w:r>
      <w:proofErr w:type="spellEnd"/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we use firm-level control data from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Compustat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>. Because the governance index is only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calculated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every other year, our dataset includes the years 1998, 2000, 2002, and 2004.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B. Model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The empirical model for our analysis is similar to the model used by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Jiraporn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Ning</w:t>
      </w:r>
      <w:proofErr w:type="spellEnd"/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(2006</w:t>
      </w: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) .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The specific model we use is of the following form: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i</w:t>
      </w:r>
      <w:proofErr w:type="spellEnd"/>
      <w:proofErr w:type="gramEnd"/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 </w:t>
      </w:r>
      <w:proofErr w:type="spellStart"/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 </w:t>
      </w:r>
      <w:proofErr w:type="spellStart"/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 </w:t>
      </w:r>
      <w:proofErr w:type="spellStart"/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 </w:t>
      </w:r>
      <w:proofErr w:type="spellStart"/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 Dividends Payouts Governance Firm </w:t>
      </w:r>
      <w:r w:rsidRPr="00AB60A0">
        <w:rPr>
          <w:rFonts w:ascii="Times New Roman" w:hAnsi="Times New Roman" w:cs="Times New Roman"/>
          <w:color w:val="000000"/>
          <w:sz w:val="24"/>
          <w:szCs w:val="24"/>
        </w:rPr>
        <w:t>, 1 , 2 , 3 , , =α + β + β + β +ε . (1)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The dependent variable, </w:t>
      </w:r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Dividends</w:t>
      </w:r>
      <w:r w:rsidRPr="00AB60A0">
        <w:rPr>
          <w:rFonts w:ascii="Times New Roman" w:hAnsi="Times New Roman" w:cs="Times New Roman"/>
          <w:color w:val="000000"/>
          <w:sz w:val="24"/>
          <w:szCs w:val="24"/>
        </w:rPr>
        <w:t>, is measured as cash dividends paid divided by the book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value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of assets. We use this more stable measure of dividend payout, as opposed to the more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tradition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dividends-to-earnings approach. The dividends-to-earnings measure is more volatile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due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to the variability of earnings. The </w:t>
      </w:r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Payout </w:t>
      </w:r>
      <w:r w:rsidRPr="00AB60A0">
        <w:rPr>
          <w:rFonts w:ascii="Times New Roman" w:hAnsi="Times New Roman" w:cs="Times New Roman"/>
          <w:color w:val="000000"/>
          <w:sz w:val="24"/>
          <w:szCs w:val="24"/>
        </w:rPr>
        <w:t>vector contains data for share repurchases to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control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for other means of cash distributions. The </w:t>
      </w:r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Governance </w:t>
      </w:r>
      <w:r w:rsidRPr="00AB60A0">
        <w:rPr>
          <w:rFonts w:ascii="Times New Roman" w:hAnsi="Times New Roman" w:cs="Times New Roman"/>
          <w:color w:val="000000"/>
          <w:sz w:val="24"/>
          <w:szCs w:val="24"/>
        </w:rPr>
        <w:t>matrix includes a variety of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corporate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governance mechanisms. One measure of governance is the governance index,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introduced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by Gompers </w:t>
      </w:r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 al. </w:t>
      </w:r>
      <w:r w:rsidRPr="00AB60A0">
        <w:rPr>
          <w:rFonts w:ascii="Times New Roman" w:hAnsi="Times New Roman" w:cs="Times New Roman"/>
          <w:color w:val="000000"/>
          <w:sz w:val="24"/>
          <w:szCs w:val="24"/>
        </w:rPr>
        <w:t>(2003). This measure quantifies the strength of shareholders rights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accumulating points for provisions across five categories: tactics for delaying hostile bidders;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3 Data for the governance measures from the IRRC database dates back to 1990. However, as noted by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Jiraporn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(2006), the database only included large corporations before 1998. Therefore, we only use data beginning in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1998.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voting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rights; director/officer protection; other takeover defenses; and state laws, where the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lower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the value of the index, the stronger the shareholder rights. Two more variables of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governance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are included to capture the influence and importance of board structure. The first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measure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is board size (Lipton and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Lorsch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, 1992; Jensen, 1993;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Yermack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>, 1996; and Denis and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Sarin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, 1999), and the other is the proportion of independent outside directors (see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Hermalin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Weisbach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, 1991; Cotter,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Shivdasani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Zenner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, 1997;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Mayers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Shivdasani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>, and Smith, 1997;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Bhagat</w:t>
      </w:r>
      <w:proofErr w:type="spell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and Black, 2001). A final measure of governance is the percent of inside ownership,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measured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as the percent of shares owned by the top five officers. These variables are all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lastRenderedPageBreak/>
        <w:t>mentioned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in prior research related to dividends and agency effects.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In keeping with earlier works, we control for firm-specific variables contained in </w:t>
      </w:r>
      <w:r w:rsidRPr="00AB60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Firm</w:t>
      </w:r>
      <w:r w:rsidRPr="00AB60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0A0">
        <w:rPr>
          <w:rFonts w:ascii="Times New Roman" w:hAnsi="Times New Roman" w:cs="Times New Roman"/>
          <w:color w:val="000000"/>
          <w:sz w:val="24"/>
          <w:szCs w:val="24"/>
        </w:rPr>
        <w:t>One control measure is the size of the firm, measured by the log of total assets. To control for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financial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performance, we use operating income scaled by sales. Furthermore, growth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opportunities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may also influence the amount of dividends paid, so we use the market-to-book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ratio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>, where market value is the book value of assets minus the book value of equity plus the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market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value of equity. We also utilize the investment-to-sales ratio. Investment is measured as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sum of research and development expenditures and capital expenditures, and provides an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alternative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proxy for growth opportunities. Lastly, since risk and leverage have been shown to</w:t>
      </w:r>
    </w:p>
    <w:p w:rsidR="00AB60A0" w:rsidRPr="00AB60A0" w:rsidRDefault="00AB60A0" w:rsidP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60A0">
        <w:rPr>
          <w:rFonts w:ascii="Times New Roman" w:hAnsi="Times New Roman" w:cs="Times New Roman"/>
          <w:color w:val="000000"/>
          <w:sz w:val="24"/>
          <w:szCs w:val="24"/>
        </w:rPr>
        <w:t>influence</w:t>
      </w:r>
      <w:proofErr w:type="gramEnd"/>
      <w:r w:rsidRPr="00AB60A0">
        <w:rPr>
          <w:rFonts w:ascii="Times New Roman" w:hAnsi="Times New Roman" w:cs="Times New Roman"/>
          <w:color w:val="000000"/>
          <w:sz w:val="24"/>
          <w:szCs w:val="24"/>
        </w:rPr>
        <w:t xml:space="preserve"> agency costs and cash distributions, we control for the debt ratio.</w:t>
      </w:r>
    </w:p>
    <w:p w:rsidR="00AB60A0" w:rsidRPr="00AB60A0" w:rsidRDefault="00AB60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B60A0" w:rsidRPr="00AB60A0" w:rsidSect="00EB6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0A0"/>
    <w:rsid w:val="00AB60A0"/>
    <w:rsid w:val="00EB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1721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2018-10-16T15:10:00Z</dcterms:created>
  <dcterms:modified xsi:type="dcterms:W3CDTF">2018-10-16T15:13:00Z</dcterms:modified>
</cp:coreProperties>
</file>