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ARBANES</w:t>
      </w:r>
      <w:r>
        <w:rPr>
          <w:rFonts w:ascii="Times New Roman" w:hAnsi="Times New Roman" w:cs="Times New Roman"/>
          <w:b/>
          <w:bCs/>
          <w:sz w:val="32"/>
          <w:szCs w:val="32"/>
        </w:rPr>
        <w:t>-O</w:t>
      </w:r>
      <w:r>
        <w:rPr>
          <w:rFonts w:ascii="Times New Roman" w:hAnsi="Times New Roman" w:cs="Times New Roman"/>
          <w:b/>
          <w:bCs/>
          <w:sz w:val="26"/>
          <w:szCs w:val="26"/>
        </w:rPr>
        <w:t>XLEY</w:t>
      </w:r>
      <w:r>
        <w:rPr>
          <w:rFonts w:ascii="Times New Roman" w:hAnsi="Times New Roman" w:cs="Times New Roman"/>
          <w:b/>
          <w:bCs/>
          <w:sz w:val="32"/>
          <w:szCs w:val="32"/>
        </w:rPr>
        <w:t>, C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ORPORATE 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sz w:val="26"/>
          <w:szCs w:val="26"/>
        </w:rPr>
        <w:t>OVERNANCE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AND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TRATEGIC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IVIDEND 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26"/>
          <w:szCs w:val="26"/>
        </w:rPr>
        <w:t>ECISIONS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past decade brought to the public’s attention record-breaking bankruptcy filings in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U.S. While many of these failures occurred in association with the downturn in the market,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not. Some, for example, were the result of significant fraud. Regardless of the causes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substantial bankruptcies, and particularly in the wake of the Enron and WorldCom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collapses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early 2000s, a strong consensus emerged among policymakers and industry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existing management practices and government oversight were insufficient to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promote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well-functioning and sound security market.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commonly understood that the separation of ownership and control leads to potential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agency-related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problems (see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Means, 1932; Jensen, 1986; and Jensen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Meckling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1976).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 have persistently challenged market participants and regulators to engineer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controls to mitigate any potential for managers to expropriate wealth from their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stakeholders</w:t>
      </w:r>
      <w:proofErr w:type="gramEnd"/>
      <w:r>
        <w:rPr>
          <w:rFonts w:ascii="Times New Roman" w:hAnsi="Times New Roman" w:cs="Times New Roman"/>
          <w:sz w:val="24"/>
          <w:szCs w:val="24"/>
        </w:rPr>
        <w:t>. Independent of government regulation, external market pressures have forced firms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 internal and external governance measures to allow a firm’s stakeholders to more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accurately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 and measure its performance. However, the perceived lapse in these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mechanisms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led the U.S. Congress to pass the Sarbanes-Oxley Act of 2002. Among other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sz w:val="24"/>
          <w:szCs w:val="24"/>
        </w:rPr>
        <w:t>, the Sarbanes-Oxley Act demands firms to have audit committees comprised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directors and forces financial officers to certify that the firm’s financial statements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accurate. Moreover, the Sarbanes-Oxley Act created the Public Company Accounting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Oversight Board to oversee, </w:t>
      </w:r>
      <w:proofErr w:type="gramStart"/>
      <w:r>
        <w:rPr>
          <w:rFonts w:ascii="Times New Roman" w:hAnsi="Times New Roman" w:cs="Times New Roman"/>
          <w:sz w:val="24"/>
          <w:szCs w:val="24"/>
        </w:rPr>
        <w:t>regulate</w:t>
      </w:r>
      <w:proofErr w:type="gramEnd"/>
      <w:r>
        <w:rPr>
          <w:rFonts w:ascii="Times New Roman" w:hAnsi="Times New Roman" w:cs="Times New Roman"/>
          <w:sz w:val="24"/>
          <w:szCs w:val="24"/>
        </w:rPr>
        <w:t>, inspect, and discipline accounting firms in their roles as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auditors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governance, as defined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Shleifer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(1997), refers to the ways in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investors ensure that they will receive maximum return on their investments.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components of an effective governance structure include managerial ownership,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composition of the board of directors, CEO and directors’ compensation schemes, audit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controls</w:t>
      </w:r>
      <w:proofErr w:type="gramEnd"/>
      <w:r>
        <w:rPr>
          <w:rFonts w:ascii="Times New Roman" w:hAnsi="Times New Roman" w:cs="Times New Roman"/>
          <w:sz w:val="24"/>
          <w:szCs w:val="24"/>
        </w:rPr>
        <w:t>, and an external market for corporate control (</w:t>
      </w:r>
      <w:proofErr w:type="spellStart"/>
      <w:r>
        <w:rPr>
          <w:rFonts w:ascii="Times New Roman" w:hAnsi="Times New Roman" w:cs="Times New Roman"/>
          <w:sz w:val="24"/>
          <w:szCs w:val="24"/>
        </w:rPr>
        <w:t>Keasey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Wright, 1997). In general,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effective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governance controls agency conflicts between management and investors in two ways.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the free-cash flow problem of a firm can be reduced through dividend policy, stock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repurchases</w:t>
      </w:r>
      <w:proofErr w:type="gramEnd"/>
      <w:r>
        <w:rPr>
          <w:rFonts w:ascii="Times New Roman" w:hAnsi="Times New Roman" w:cs="Times New Roman"/>
          <w:sz w:val="24"/>
          <w:szCs w:val="24"/>
        </w:rPr>
        <w:t>, capital structure decisions, and investment in long term projects. Second,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likelihood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management entrenchment can be reduced, thus strengthening shareholders’ rights.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paper is to investigate the impact of government regulation with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Sarbanes-Oxley Act on the existing agency relation between corporate governance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dividend policy. Specifically, our research question is: Does the relation between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dividend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payout policies and various measures of governance and firm-specific characteristics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the enactment of Sarbanes-Oxley? Empirical results show that prior to the Sarbanes-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Oxley Act, shareholders’ rights, board size, and the proportion of outside directors are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statistically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significant factors in explaining a firm’s dividend policy. Following Sarbanes-Oxley,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>, regulatory changes have structurally altered the impact that governance measures have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explaining dividend policies.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is organized as follows. Section II reviews selected literature. Section III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summarized the data and methodology, while Section IV presents the empirical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findings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robustness tests. Section V provides concluding remarks.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Some other definitions of corporate governance are: “the design of institutions that induce or force management to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internalize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welfare of stakeholders,” (</w:t>
      </w:r>
      <w:proofErr w:type="spellStart"/>
      <w:r>
        <w:rPr>
          <w:rFonts w:ascii="Times New Roman" w:hAnsi="Times New Roman" w:cs="Times New Roman"/>
          <w:sz w:val="20"/>
          <w:szCs w:val="20"/>
        </w:rPr>
        <w:t>Tirole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2001) and “the complex set of constraints that shape the </w:t>
      </w:r>
      <w:r>
        <w:rPr>
          <w:rFonts w:ascii="Times New Roman" w:hAnsi="Times New Roman" w:cs="Times New Roman"/>
          <w:i/>
          <w:iCs/>
          <w:sz w:val="20"/>
          <w:szCs w:val="20"/>
        </w:rPr>
        <w:t>ex-post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bargaining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 quasi-rents generated by the firm.”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Zingales</w:t>
      </w:r>
      <w:proofErr w:type="spellEnd"/>
      <w:r>
        <w:rPr>
          <w:rFonts w:ascii="Times New Roman" w:hAnsi="Times New Roman" w:cs="Times New Roman"/>
          <w:sz w:val="20"/>
          <w:szCs w:val="20"/>
        </w:rPr>
        <w:t>, 1998).</w:t>
      </w:r>
      <w:proofErr w:type="gram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REVIEW OF SELECTED LITERATURE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significant agency costs affected by dividend policy are those associated with free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 and managerial entrenchment. The role of an effective corporate governance structure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ensure that managerial decisions are continually monitored. This can be achieved internally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monitoring and auditing of managers and externally via the market for corporate control.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mitigate agency costs associated with the free cash flow problem, dividends may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to force managers to return to the capital market when they are faced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valueincreasing</w:t>
      </w:r>
      <w:proofErr w:type="spell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opportunities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Rozeff</w:t>
      </w:r>
      <w:proofErr w:type="spellEnd"/>
      <w:r>
        <w:rPr>
          <w:rFonts w:ascii="Times New Roman" w:hAnsi="Times New Roman" w:cs="Times New Roman"/>
          <w:sz w:val="24"/>
          <w:szCs w:val="24"/>
        </w:rPr>
        <w:t>, 1982).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Easterbrook (1984) echoes this view,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arguing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investment bankers work on behalf of shareholders to monitor managers and ensure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corporate governance. Similarly, Lloyd, Page,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 find that greater market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scrutiny</w:t>
      </w:r>
      <w:proofErr w:type="gramEnd"/>
      <w:r>
        <w:rPr>
          <w:rFonts w:ascii="Times New Roman" w:hAnsi="Times New Roman" w:cs="Times New Roman"/>
          <w:sz w:val="24"/>
          <w:szCs w:val="24"/>
        </w:rPr>
        <w:t>, measured by the number of analysts following a particular firm, is associated with a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dividend payout.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research has focused on the importance of growth opportunities on dividend policy.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Wasteful spending on value-destroying projects is more likely to impact firms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fewer growth</w:t>
      </w:r>
      <w:proofErr w:type="gram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opportunities</w:t>
      </w:r>
      <w:proofErr w:type="gramEnd"/>
      <w:r>
        <w:rPr>
          <w:rFonts w:ascii="Times New Roman" w:hAnsi="Times New Roman" w:cs="Times New Roman"/>
          <w:sz w:val="24"/>
          <w:szCs w:val="24"/>
        </w:rPr>
        <w:t>, while firms with substantial growth opportunities are likely to be investing in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 present value projects. In support of this hypothesis, </w:t>
      </w:r>
      <w:proofErr w:type="spellStart"/>
      <w:r>
        <w:rPr>
          <w:rFonts w:ascii="Times New Roman" w:hAnsi="Times New Roman" w:cs="Times New Roman"/>
          <w:sz w:val="24"/>
          <w:szCs w:val="24"/>
        </w:rPr>
        <w:t>Gaver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(1993) find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dividends are inversely related to growth opportunities.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Shareholders’ rights have also been known to influence dividend policy.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</w:rPr>
        <w:t>, Lopez-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Salinas,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Shleifer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 examine dividend policies across countries with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 protections. Globally, they find that those countries which provide stronger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minority shareholder rights have firms that pay higher dividends. Additionally,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growth firms are also shown to pay lower dividends in the countries with stronger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gramEnd"/>
      <w:r>
        <w:rPr>
          <w:rFonts w:ascii="Times New Roman" w:hAnsi="Times New Roman" w:cs="Times New Roman"/>
          <w:sz w:val="24"/>
          <w:szCs w:val="24"/>
        </w:rPr>
        <w:t>. In lieu of legal protection, another measure of shareholder rights is the Gompers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For a recent review of the theoretical and empirical research on dividends, see Bhattacharyya (2007).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Governance Index (Gompers, Ishii,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Metrick</w:t>
      </w:r>
      <w:proofErr w:type="spellEnd"/>
      <w:r>
        <w:rPr>
          <w:rFonts w:ascii="Times New Roman" w:hAnsi="Times New Roman" w:cs="Times New Roman"/>
          <w:sz w:val="24"/>
          <w:szCs w:val="24"/>
        </w:rPr>
        <w:t>, 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this metric,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Jiraporn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(2006) find a positive relation between the Gompers Governance Index and dividend payout.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conclude that shareholder rights have a significant influence on dividend payout ratios,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restrictive shareholder rights being associated with higher dividend payout. This,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</w:t>
      </w:r>
      <w:proofErr w:type="gramEnd"/>
      <w:r>
        <w:rPr>
          <w:rFonts w:ascii="Times New Roman" w:hAnsi="Times New Roman" w:cs="Times New Roman"/>
          <w:sz w:val="24"/>
          <w:szCs w:val="24"/>
        </w:rPr>
        <w:t>, supports the view that firms that restrict shareholder rights cannot totally escape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scrutiny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markets.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key component of effective corporate governance is mitigating problems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managerial entrenchment. The market for corporate control is one means for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monitoring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disciplining management, thereby affecting agency costs and dividend payout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Page, 1991).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is, one can argue that the most effective means for minimizing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 is for management to maximize firm value. By ensuring that a firm is fully valued,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 becomes less of a takeover target. In other words, it is no longer a bargain. However,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 do indeed exist and many mangers seek to deter or block hostile takeovers by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adopting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antitakeover amendments (see Page,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Jahera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Pugh, 1996). Proponents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antitakeover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measures contend that such protection enable management to focus on longer run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the constant threat of a hostile takeover. Opponents argue that such measures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serve to entrench weak or ineffective management.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Borokhovich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Harman,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 test the theory that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dividends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serve to reduce agency costs. They follow standard event study methodology to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stock price reaction around dividend increase announcements. Controlling for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blockholders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poison pills as measures of agency costs, they find no evidence that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announcement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large dividend increase results in lower agency costs.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DATA and METHODOLOGY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A. Data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primary focus of this paper is to investigate the impact of regulatory changes on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a firm’s dividend policy and governance structure. To do so, we use data from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Investor Responsibility Research Center (IRRC) data files over the period 1998 - 2004.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includes a number of measures of governance, such as the governance index (Gompers 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al.</w:t>
      </w:r>
      <w:r>
        <w:rPr>
          <w:rFonts w:ascii="Times New Roman" w:hAnsi="Times New Roman" w:cs="Times New Roman"/>
          <w:sz w:val="24"/>
          <w:szCs w:val="24"/>
        </w:rPr>
        <w:t>, 2003), the size of the firm’s board, the proportion of independent outside directors, and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insider ownership. The percent of insider ownership is calculated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ExecuComp</w:t>
      </w:r>
      <w:proofErr w:type="spell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use firm-level control data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Compustat</w:t>
      </w:r>
      <w:proofErr w:type="spellEnd"/>
      <w:r>
        <w:rPr>
          <w:rFonts w:ascii="Times New Roman" w:hAnsi="Times New Roman" w:cs="Times New Roman"/>
          <w:sz w:val="24"/>
          <w:szCs w:val="24"/>
        </w:rPr>
        <w:t>. Because the governance index is only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 other year, our dataset includes the years 1998, 2000, 2002, and 2004.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B. Model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empirical model for our analysis is similar to the model used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Jiraporn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(2006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specific model we use is of the following form: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>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t 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t 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t 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t 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Dividends Payouts Governance Firm </w:t>
      </w:r>
      <w:r>
        <w:rPr>
          <w:rFonts w:ascii="Times New Roman" w:hAnsi="Times New Roman" w:cs="Times New Roman"/>
          <w:sz w:val="14"/>
          <w:szCs w:val="14"/>
        </w:rPr>
        <w:t xml:space="preserve">, 1 , 2 , 3 , , </w:t>
      </w:r>
      <w:r>
        <w:rPr>
          <w:rFonts w:ascii="SymbolMT" w:hAnsi="SymbolMT" w:cs="SymbolMT"/>
          <w:sz w:val="24"/>
          <w:szCs w:val="24"/>
        </w:rPr>
        <w:t>=</w:t>
      </w:r>
      <w:r>
        <w:rPr>
          <w:rFonts w:ascii="SymbolMT" w:hAnsi="SymbolMT" w:cs="SymbolMT"/>
          <w:sz w:val="25"/>
          <w:szCs w:val="25"/>
        </w:rPr>
        <w:t xml:space="preserve">α </w:t>
      </w:r>
      <w:r>
        <w:rPr>
          <w:rFonts w:ascii="SymbolMT" w:hAnsi="SymbolMT" w:cs="SymbolMT"/>
          <w:sz w:val="24"/>
          <w:szCs w:val="24"/>
        </w:rPr>
        <w:t xml:space="preserve">+ </w:t>
      </w:r>
      <w:r>
        <w:rPr>
          <w:rFonts w:ascii="SymbolMT" w:hAnsi="SymbolMT" w:cs="SymbolMT"/>
          <w:sz w:val="25"/>
          <w:szCs w:val="25"/>
        </w:rPr>
        <w:t xml:space="preserve">β </w:t>
      </w:r>
      <w:r>
        <w:rPr>
          <w:rFonts w:ascii="SymbolMT" w:hAnsi="SymbolMT" w:cs="SymbolMT"/>
          <w:sz w:val="24"/>
          <w:szCs w:val="24"/>
        </w:rPr>
        <w:t xml:space="preserve">+ </w:t>
      </w:r>
      <w:r>
        <w:rPr>
          <w:rFonts w:ascii="SymbolMT" w:hAnsi="SymbolMT" w:cs="SymbolMT"/>
          <w:sz w:val="25"/>
          <w:szCs w:val="25"/>
        </w:rPr>
        <w:t xml:space="preserve">β </w:t>
      </w:r>
      <w:r>
        <w:rPr>
          <w:rFonts w:ascii="SymbolMT" w:hAnsi="SymbolMT" w:cs="SymbolMT"/>
          <w:sz w:val="24"/>
          <w:szCs w:val="24"/>
        </w:rPr>
        <w:t xml:space="preserve">+ </w:t>
      </w:r>
      <w:r>
        <w:rPr>
          <w:rFonts w:ascii="SymbolMT" w:hAnsi="SymbolMT" w:cs="SymbolMT"/>
          <w:sz w:val="25"/>
          <w:szCs w:val="25"/>
        </w:rPr>
        <w:t xml:space="preserve">β </w:t>
      </w:r>
      <w:r>
        <w:rPr>
          <w:rFonts w:ascii="SymbolMT" w:hAnsi="SymbolMT" w:cs="SymbolMT"/>
          <w:sz w:val="24"/>
          <w:szCs w:val="24"/>
        </w:rPr>
        <w:t>+</w:t>
      </w:r>
      <w:r>
        <w:rPr>
          <w:rFonts w:ascii="SymbolMT" w:hAnsi="SymbolMT" w:cs="SymbolMT"/>
          <w:sz w:val="25"/>
          <w:szCs w:val="25"/>
        </w:rPr>
        <w:t xml:space="preserve">ε </w:t>
      </w:r>
      <w:r>
        <w:rPr>
          <w:rFonts w:ascii="Times New Roman" w:hAnsi="Times New Roman" w:cs="Times New Roman"/>
          <w:sz w:val="24"/>
          <w:szCs w:val="24"/>
        </w:rPr>
        <w:t>. (1)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dependent variable, </w:t>
      </w:r>
      <w:r>
        <w:rPr>
          <w:rFonts w:ascii="Times New Roman" w:hAnsi="Times New Roman" w:cs="Times New Roman"/>
          <w:i/>
          <w:iCs/>
          <w:sz w:val="24"/>
          <w:szCs w:val="24"/>
        </w:rPr>
        <w:t>Dividends</w:t>
      </w:r>
      <w:r>
        <w:rPr>
          <w:rFonts w:ascii="Times New Roman" w:hAnsi="Times New Roman" w:cs="Times New Roman"/>
          <w:sz w:val="24"/>
          <w:szCs w:val="24"/>
        </w:rPr>
        <w:t>, is measured as cash dividends paid divided by the book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assets. We use this more stable measure of dividend payout, as opposed to the more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dividends-to-earnings approach. The dividends-to-earnings measure is more volatile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variability of earnings.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Payout </w:t>
      </w:r>
      <w:r>
        <w:rPr>
          <w:rFonts w:ascii="Times New Roman" w:hAnsi="Times New Roman" w:cs="Times New Roman"/>
          <w:sz w:val="24"/>
          <w:szCs w:val="24"/>
        </w:rPr>
        <w:t>vector contains data for share repurchases to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other means of cash distributions.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Governance </w:t>
      </w:r>
      <w:r>
        <w:rPr>
          <w:rFonts w:ascii="Times New Roman" w:hAnsi="Times New Roman" w:cs="Times New Roman"/>
          <w:sz w:val="24"/>
          <w:szCs w:val="24"/>
        </w:rPr>
        <w:t>matrix includes a variety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governance mechanisms. One measure of governance is the governance index,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introduced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Gompers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>
        <w:rPr>
          <w:rFonts w:ascii="Times New Roman" w:hAnsi="Times New Roman" w:cs="Times New Roman"/>
          <w:sz w:val="24"/>
          <w:szCs w:val="24"/>
        </w:rPr>
        <w:t>(2003). This measure quantifies the strength of shareholders rights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accumulating points for provisions across five categories: tactics for delaying hostile bidders;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 xml:space="preserve">Data for the governance measures from the IRRC database dates back to 1990. However, as noted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Jiraporn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(2006), the database only included large corporations before 1998. Therefore, we only use data beginning in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1998.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rights; director/officer protection; other takeover defenses; and state laws, where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value of the index, the stronger the shareholder rights. Two more variables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included to capture the influence and importance of board structure. The first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board size (Lipton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1992; Jensen, 1993; </w:t>
      </w:r>
      <w:proofErr w:type="spellStart"/>
      <w:r>
        <w:rPr>
          <w:rFonts w:ascii="Times New Roman" w:hAnsi="Times New Roman" w:cs="Times New Roman"/>
          <w:sz w:val="24"/>
          <w:szCs w:val="24"/>
        </w:rPr>
        <w:t>Yermack</w:t>
      </w:r>
      <w:proofErr w:type="spellEnd"/>
      <w:r>
        <w:rPr>
          <w:rFonts w:ascii="Times New Roman" w:hAnsi="Times New Roman" w:cs="Times New Roman"/>
          <w:sz w:val="24"/>
          <w:szCs w:val="24"/>
        </w:rPr>
        <w:t>, 1996; and Denis and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1999), and the other is the proportion of independent outside directors (see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Weisbach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1991; Cotter,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Shivdasani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Zenner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1997;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Shivdasani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Smith, 1997;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Black, 2001). A final measure of governance is the percent of inside ownership,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percent of shares owned by the top five officers. These variables are all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prior research related to dividends and agency effects.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keeping with earlier works, we control for firm-specific variables contained in </w:t>
      </w:r>
      <w:r>
        <w:rPr>
          <w:rFonts w:ascii="Times New Roman" w:hAnsi="Times New Roman" w:cs="Times New Roman"/>
          <w:i/>
          <w:iCs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control measure is the size of the firm, measured by the log of total assets. To control for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performance, we use operating income scaled by sales. Furthermore, growth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opportunities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also influence the amount of dividends paid, so we use the market-to-book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ratio</w:t>
      </w:r>
      <w:proofErr w:type="gramEnd"/>
      <w:r>
        <w:rPr>
          <w:rFonts w:ascii="Times New Roman" w:hAnsi="Times New Roman" w:cs="Times New Roman"/>
          <w:sz w:val="24"/>
          <w:szCs w:val="24"/>
        </w:rPr>
        <w:t>, where market value is the book value of assets minus the book value of equity plus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of equity. We also utilize the investment-to-sales ratio. Investment is measured as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 of research and development expenditures and capital expenditures, and provides an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alternative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proxy for growth opportunities. Lastly, since risk and leverage have been shown to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influence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agency costs and cash distributions, we control for the debt ratio.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RESULTS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reports descriptive statistics for the overall sample period, as well as for each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individual years. The final column shows the difference between 2000, the period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preceding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Sarbanes-Oxley, and 2004, the period following the passage of Sarbanes-Oxley. For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payout variables, the mean (median) level of dividends and repurchases is 0.0114 (0.0021),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0.0272 (0.0018), respectively. Over time, the level of repurchases tends to drop, but there is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significant difference in means from 2000 to 2004. Dividends, however, remain relatively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stable</w:t>
      </w:r>
      <w:proofErr w:type="gramEnd"/>
      <w:r>
        <w:rPr>
          <w:rFonts w:ascii="Times New Roman" w:hAnsi="Times New Roman" w:cs="Times New Roman"/>
          <w:sz w:val="24"/>
          <w:szCs w:val="24"/>
        </w:rPr>
        <w:t>, with only a marginal difference in means from 2000 to 2004.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 and median levels for the governance index, board size, proportion of outside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directors</w:t>
      </w:r>
      <w:proofErr w:type="gramEnd"/>
      <w:r>
        <w:rPr>
          <w:rFonts w:ascii="Times New Roman" w:hAnsi="Times New Roman" w:cs="Times New Roman"/>
          <w:sz w:val="24"/>
          <w:szCs w:val="24"/>
        </w:rPr>
        <w:t>, and percentage of managerial ownership are 8.9718 (9.000), 2.1607 (2.1972), 0.6338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(0.6667), and 42.5608 (8.7350), respectively.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Notably, from 1998 to 2004, both the governance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proportion of independent outside directors monotonically increased and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means and medians between the years 2000 and 2004 are significant at the one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level. During the same time frame, the percentage of managerial ownership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monotonically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decreased and the difference between means and medians for the years 2000 and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are significant at the one percent level. Board size remains relatively stable, though means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medians for the years 2000 to 2004 are significantly different at the ten percent level.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shows some significant changes in firm characteristics over time, as well.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2000 and 2004, the size of the sample firms significantly increased, while leverage and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operating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income significantly decreased. The average change in market-to-book significantly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also, though the median change is insignificant. The opposite is true for investment,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mean change is insignificant and the median change is a significant decline.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2 contains simple correlations among the variables, as well as their associated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levels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statistical significance. All four measures of governance – governance index, board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size</w:t>
      </w:r>
      <w:proofErr w:type="gramEnd"/>
      <w:r>
        <w:rPr>
          <w:rFonts w:ascii="Times New Roman" w:hAnsi="Times New Roman" w:cs="Times New Roman"/>
          <w:sz w:val="24"/>
          <w:szCs w:val="24"/>
        </w:rPr>
        <w:t>, proportion of outside directors, and percentage of managerial ownership – are significantly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dividends. In addition, while the governance index, board size, and proportion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directors are positively related to dividends, they are also significantly related to most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variables. The percentage of managerial ownership is negatively related to dividends,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significantly related to many of the other variables. These correlations reveal the need to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various governance mechanisms and firm-specific factors when studying dividend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 presents our empirical results. There are six models presented in the table: two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overall sample period, two for the years prior to Sarbanes-Oxley (1998,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2000, and 2002), and two for the year following the passage of Sarbanes-Oxley (2004).</w:t>
      </w:r>
      <w:proofErr w:type="gram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first note that the coefficients on firm-specific variables are consistent with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empirical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findings of other studies. Firms with higher levels of repurchases tend to payout more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dividends, suggesting that repurchases and dividends are not complimentary policy variables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Jiraporn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</w:rPr>
        <w:t>, 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Contrary results are apparent for the impact of leverage. Firms with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levels of debt typically payout fewer dividends, consistent with the finding that firms who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contracts with creditors have controls limiting the firm’s ability to make cash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disbursements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(Smith and Warner, 1979; and John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Kalay</w:t>
      </w:r>
      <w:proofErr w:type="spellEnd"/>
      <w:r>
        <w:rPr>
          <w:rFonts w:ascii="Times New Roman" w:hAnsi="Times New Roman" w:cs="Times New Roman"/>
          <w:sz w:val="24"/>
          <w:szCs w:val="24"/>
        </w:rPr>
        <w:t>, 1982). Profitability and growth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opportunities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 significantly positive relation with dividend payouts.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 of governance measures on dividends is positive and significant. Consistent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Jiraporn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(2006), our results show that, for the overall sample, as shareholder rights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weaken</w:t>
      </w:r>
      <w:proofErr w:type="gramEnd"/>
      <w:r>
        <w:rPr>
          <w:rFonts w:ascii="Times New Roman" w:hAnsi="Times New Roman" w:cs="Times New Roman"/>
          <w:sz w:val="24"/>
          <w:szCs w:val="24"/>
        </w:rPr>
        <w:t>, as measured by a higher governance index, companies tend to payout higher portions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dividends</w:t>
      </w:r>
      <w:proofErr w:type="gramEnd"/>
      <w:r>
        <w:rPr>
          <w:rFonts w:ascii="Times New Roman" w:hAnsi="Times New Roman" w:cs="Times New Roman"/>
          <w:sz w:val="24"/>
          <w:szCs w:val="24"/>
        </w:rPr>
        <w:t>. In essence, these results support the substitution hypothesis that firms are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compensating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shareholders with higher levels of dividends for their inability to control the firm.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larger boards and greater representation by independent outside directors tend to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further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cash dividends.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to the main focus of our study, we examine how the relation between dividend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governance mechanisms is affected by the Sarbanes-Oxley Act. We find that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 substantially changed following this exogenous regulatory change. Indeed, while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governance index is positive and significant in relation to dividend payouts before 2002 when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Sarbanes-Oxley Act was passed into law, the governance index is statistically insignificant in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dividends following 2002. This exogenously imposed accountability has seemingly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agency cost of shareholders’ rights and investors are no longer demanding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compensation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their limited control. In addition to the governance index, the results show that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proportion of outside directors also no longer appears to influence dividend policy, though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size of the board still does. This is consistent with the view that Sarbanes-Oxley sufficiently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level of oversight and monitoring of managers through audit committee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independence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accountability to the point that independent directors are no longer a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 in determining a firm’s optimal dividend payout.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the robustness of our results, we run additional specifications. These results are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Table 4.</w:t>
      </w: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One possible explanation of our results is that they may be driven by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percentage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managerial ownership. Management with larger portions of their wealth tied to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more likely to redistribute cash back to investors. Therefore, we include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percentage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managerial ownership and we find that our results are robust and the percentage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ownership has no statistical power in explaining dividends.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Table 4, we also examine the effect of using market values, rather than book values.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replace the log of book value of assets with the log of market value of assets and we replace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 value debt ratio with the market value debt ratio. Again, we find that while governance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 xml:space="preserve">One may question whether a potential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endogeneity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problem exists with our analysis. It is pointed out by </w:t>
      </w:r>
      <w:proofErr w:type="spellStart"/>
      <w:r>
        <w:rPr>
          <w:rFonts w:ascii="Times New Roman" w:hAnsi="Times New Roman" w:cs="Times New Roman"/>
          <w:sz w:val="20"/>
          <w:szCs w:val="20"/>
        </w:rPr>
        <w:t>Jiraporn</w:t>
      </w:r>
      <w:proofErr w:type="spellEnd"/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(2006) that governance tends to explain dividends but dividends do not explain governance.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 dividends prior to Sarbanes-Oxley, they do not after the Act is passed into law.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we replace the market-to-book ratio with the investment-to-sales ratio in Table 4. This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ratio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provides another forward-looking measure of a firm’s growth opportunities. Though this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less significant in explaining dividend policy, our results do not change. Our results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consistent with the agency relation being changed by the Sarbanes-Oxley Act.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CONCLUSION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widely recognized that agency costs borne by the separation of ownership and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influence the managerial decision process. It is also well documented that the degree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entrenchment acts as a deterrent to sound and efficient business decisions. Poor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disclosure has contributed, at least in part, to large financial failures. In contrast,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studies show that the level of corporate governance promotes better management practices.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date, however, there is little evidence on how regulatory policy impacts the potential agency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conflict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firms.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light of the financial crises over the last decade, an emerging consensus between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policymakers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industry participants is that a new approach to governance and regulation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applied. In response to this need, the U.S. legislature has provided regulation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addressing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auditor and audit committee independence, information disclosure, and managerial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accountability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data from the IRRC,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ExecuComp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Compustat</w:t>
      </w:r>
      <w:proofErr w:type="spellEnd"/>
      <w:r>
        <w:rPr>
          <w:rFonts w:ascii="Times New Roman" w:hAnsi="Times New Roman" w:cs="Times New Roman"/>
          <w:sz w:val="24"/>
          <w:szCs w:val="24"/>
        </w:rPr>
        <w:t>, we measure the impact of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regulatory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changes on the agency relations of a firm’s dividend policy. The relation between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dividend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payout policies and various measures of governance and firm-specific characteristics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significantly change after the enactment of Sarbanes-Oxley. We find that the agency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governance measures and a firm’s dividend policy are statistically significant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introduction of the Sarbanes-Oxley Act. However, following Sarbanes-Oxley, the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a firm’s governance and dividend policy changes. In particular, shareholders’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proportion of outside directors are no longer significant in explaining a firm’s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dividend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policy. This implies that investors, who demanded compensation for limited control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firm, seem to rely more on the Sarbanes-Oxley Act to serve as an effective internal control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 managers to operate a firm in their best interests. One explanation may be that greater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transparency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accountability resulting from Sarbanes-Oxley has indeed had an early effect on</w:t>
      </w:r>
    </w:p>
    <w:p w:rsidR="00D76758" w:rsidRDefault="00D76758" w:rsidP="00D767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costs. As more time passes, future research can examine whether the effect is simply a</w:t>
      </w:r>
    </w:p>
    <w:p w:rsidR="00AD2ABA" w:rsidRDefault="00D76758" w:rsidP="00D76758">
      <w:pPr>
        <w:spacing w:line="48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short-term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anomaly or a long lasting effect.</w:t>
      </w:r>
    </w:p>
    <w:sectPr w:rsidR="00AD2ABA" w:rsidSect="00AD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758"/>
    <w:rsid w:val="00AD2ABA"/>
    <w:rsid w:val="00D7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3097</Words>
  <Characters>17659</Characters>
  <Application>Microsoft Office Word</Application>
  <DocSecurity>0</DocSecurity>
  <Lines>147</Lines>
  <Paragraphs>41</Paragraphs>
  <ScaleCrop>false</ScaleCrop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2018-10-17T14:28:00Z</dcterms:created>
  <dcterms:modified xsi:type="dcterms:W3CDTF">2018-10-17T14:32:00Z</dcterms:modified>
</cp:coreProperties>
</file>