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NAME:</w:t>
      </w:r>
      <w:r>
        <w:t xml:space="preserve"> </w:t>
      </w:r>
      <w:r>
        <w:rPr>
          <w:lang w:val="en-GB"/>
        </w:rPr>
        <w:t>FIDE-AKWUOBI ANTHONY CHIZAL</w:t>
      </w:r>
      <w:r>
        <w:rPr>
          <w:lang w:val="en-GB"/>
        </w:rPr>
        <w:t>U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17/ENG</w:t>
      </w:r>
      <w:r>
        <w:rPr>
          <w:lang w:val="en-GB"/>
        </w:rPr>
        <w:t>06/037</w:t>
      </w:r>
    </w:p>
    <w:p>
      <w:pPr>
        <w:pStyle w:val="style0"/>
        <w:rPr/>
      </w:pPr>
      <w:r>
        <w:t>DEPARTMENT:</w:t>
      </w:r>
      <w:r>
        <w:t xml:space="preserve"> MEC</w:t>
      </w:r>
      <w:r>
        <w:rPr>
          <w:lang w:val="en-GB"/>
        </w:rPr>
        <w:t>HANICAL</w:t>
      </w:r>
      <w:r>
        <w:t xml:space="preserve">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23.3379526245650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24.1409685960180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24.8158399014540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24.9386984284230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24.9683162009240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24.9993960081170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24.9998386524460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337</Words>
  <Pages>5</Pages>
  <Characters>1657</Characters>
  <Application>WPS Office</Application>
  <DocSecurity>0</DocSecurity>
  <Paragraphs>938</Paragraphs>
  <ScaleCrop>false</ScaleCrop>
  <LinksUpToDate>false</LinksUpToDate>
  <CharactersWithSpaces>2199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2019-04-14T20:35:00Z</dcterms:created>
  <dc:creator>USER</dc:creator>
  <lastModifiedBy>SM-A750GN</lastModifiedBy>
  <dcterms:modified xsi:type="dcterms:W3CDTF">2019-04-14T21:02:55Z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