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GB"/>
        </w:rPr>
        <w:t>OLUTAYO AYODEJI SAMUEL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17/ENG05</w:t>
      </w:r>
      <w:r>
        <w:rPr>
          <w:b/>
          <w:lang w:val="en-GB"/>
        </w:rPr>
        <w:t>/</w:t>
      </w:r>
      <w:r>
        <w:rPr>
          <w:b/>
          <w:lang w:val="en-GB"/>
        </w:rPr>
        <w:t>03</w:t>
      </w:r>
      <w:r>
        <w:rPr>
          <w:b/>
          <w:lang w:val="en-GB"/>
        </w:rPr>
        <w:t>4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MECHATRONICS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deji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Pages>4</Pages>
  <Characters>983</Characters>
  <Application>WPS Office</Application>
  <DocSecurity>0</DocSecurity>
  <Paragraphs>89</Paragraphs>
  <ScaleCrop>false</ScaleCrop>
  <LinksUpToDate>false</LinksUpToDate>
  <CharactersWithSpaces>1019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2019-11-23T22:27:11Z</dcterms:created>
  <dc:creator>USER</dc:creator>
  <lastModifiedBy>SM-J610F</lastModifiedBy>
  <dcterms:modified xsi:type="dcterms:W3CDTF">2019-11-23T22:27:12Z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