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583E" w14:textId="4F202822" w:rsidR="009D0407" w:rsidRDefault="009D0407" w:rsidP="006D290A">
      <w:pPr>
        <w:rPr>
          <w:rFonts w:eastAsia="Arial"/>
          <w:lang w:val="en-US"/>
        </w:rPr>
      </w:pPr>
      <w:r>
        <w:rPr>
          <w:rFonts w:eastAsia="Arial"/>
          <w:lang w:val="en-US"/>
        </w:rPr>
        <w:t xml:space="preserve">Omolade Mitchel </w:t>
      </w:r>
      <w:proofErr w:type="spellStart"/>
      <w:r>
        <w:rPr>
          <w:rFonts w:eastAsia="Arial"/>
          <w:lang w:val="en-US"/>
        </w:rPr>
        <w:t>omokorede</w:t>
      </w:r>
      <w:proofErr w:type="spellEnd"/>
      <w:r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br/>
      </w:r>
      <w:r w:rsidR="00155DFF">
        <w:rPr>
          <w:rFonts w:eastAsia="Arial"/>
          <w:lang w:val="en-US"/>
        </w:rPr>
        <w:t>17/sms10/005</w:t>
      </w:r>
      <w:r w:rsidR="00155DFF">
        <w:rPr>
          <w:rFonts w:eastAsia="Arial"/>
          <w:lang w:val="en-US"/>
        </w:rPr>
        <w:br/>
        <w:t xml:space="preserve">peace and conflict studies </w:t>
      </w:r>
      <w:r w:rsidR="00F536BA">
        <w:rPr>
          <w:rFonts w:eastAsia="Arial"/>
          <w:lang w:val="en-US"/>
        </w:rPr>
        <w:br/>
        <w:t>PCS 308</w:t>
      </w:r>
    </w:p>
    <w:p w14:paraId="1FB082CF" w14:textId="488644E5" w:rsidR="008F66AD" w:rsidRDefault="008F66AD" w:rsidP="006D290A">
      <w:pPr>
        <w:rPr>
          <w:rFonts w:eastAsia="Arial"/>
          <w:lang w:val="en-US"/>
        </w:rPr>
      </w:pPr>
      <w:r>
        <w:rPr>
          <w:rFonts w:eastAsia="Arial"/>
          <w:lang w:val="en-US"/>
        </w:rPr>
        <w:t>Assignment</w:t>
      </w:r>
      <w:bookmarkStart w:id="0" w:name="_GoBack"/>
      <w:bookmarkEnd w:id="0"/>
    </w:p>
    <w:p w14:paraId="4D04BBBD" w14:textId="77777777" w:rsidR="009D0407" w:rsidRDefault="009D0407" w:rsidP="006D290A">
      <w:pPr>
        <w:rPr>
          <w:rFonts w:eastAsia="Arial"/>
          <w:lang w:val="en-US"/>
        </w:rPr>
      </w:pPr>
    </w:p>
    <w:p w14:paraId="037C998E" w14:textId="7E0626A0" w:rsidR="006D290A" w:rsidRDefault="006D290A" w:rsidP="006D290A">
      <w:pPr>
        <w:rPr>
          <w:rFonts w:eastAsia="Arial"/>
          <w:lang w:val="en-US"/>
        </w:rPr>
      </w:pPr>
      <w:r>
        <w:rPr>
          <w:rFonts w:eastAsia="Arial"/>
          <w:lang w:val="en-US"/>
        </w:rPr>
        <w:t xml:space="preserve">Question: Design A practice Peace and Conflict Programme/Project of Choice: using the following guideline </w:t>
      </w:r>
    </w:p>
    <w:p w14:paraId="501A1889" w14:textId="2C1B5B53" w:rsidR="006D290A" w:rsidRDefault="006D290A" w:rsidP="006D290A">
      <w:pPr>
        <w:rPr>
          <w:rFonts w:eastAsia="Arial"/>
          <w:lang w:val="en-US"/>
        </w:rPr>
      </w:pPr>
      <w:r>
        <w:rPr>
          <w:rFonts w:eastAsia="Arial"/>
          <w:lang w:val="en-US"/>
        </w:rPr>
        <w:t xml:space="preserve">A, Project/Programme Circle B. Design C. Monitoring D. Evaluation </w:t>
      </w:r>
    </w:p>
    <w:p w14:paraId="308B5B51" w14:textId="77777777" w:rsidR="006D290A" w:rsidRDefault="006D290A" w:rsidP="006D290A">
      <w:pPr>
        <w:rPr>
          <w:rFonts w:eastAsia="Arial"/>
          <w:lang w:val="en-US"/>
        </w:rPr>
      </w:pPr>
    </w:p>
    <w:p w14:paraId="7CF6C890" w14:textId="7BB919F0" w:rsidR="006D290A" w:rsidRDefault="006D290A" w:rsidP="006D290A">
      <w:pPr>
        <w:rPr>
          <w:rFonts w:eastAsia="Arial"/>
          <w:lang w:val="en-US"/>
        </w:rPr>
      </w:pPr>
    </w:p>
    <w:p w14:paraId="7FA26F53" w14:textId="10316C0E" w:rsidR="006D290A" w:rsidRPr="00617727" w:rsidRDefault="006D290A" w:rsidP="006D290A">
      <w:pPr>
        <w:rPr>
          <w:rFonts w:eastAsia="Arial"/>
          <w:b/>
          <w:bCs/>
          <w:sz w:val="28"/>
          <w:szCs w:val="28"/>
          <w:lang w:val="en-US"/>
        </w:rPr>
      </w:pPr>
      <w:r w:rsidRPr="00617727">
        <w:rPr>
          <w:rFonts w:eastAsia="Arial"/>
          <w:b/>
          <w:bCs/>
          <w:sz w:val="28"/>
          <w:szCs w:val="28"/>
          <w:lang w:val="en-US"/>
        </w:rPr>
        <w:t xml:space="preserve">Introduction </w:t>
      </w:r>
    </w:p>
    <w:p w14:paraId="51904A06" w14:textId="77777777" w:rsidR="00617727" w:rsidRDefault="0017627D" w:rsidP="006D290A">
      <w:pPr>
        <w:rPr>
          <w:rFonts w:eastAsia="Arial"/>
          <w:lang w:val="en-US"/>
        </w:rPr>
      </w:pPr>
      <w:r>
        <w:rPr>
          <w:rFonts w:eastAsia="Arial"/>
          <w:lang w:val="en-US"/>
        </w:rPr>
        <w:t>The Project Circle</w:t>
      </w:r>
      <w:r w:rsidR="00617727">
        <w:rPr>
          <w:rFonts w:eastAsia="Arial"/>
          <w:lang w:val="en-US"/>
        </w:rPr>
        <w:t xml:space="preserve"> is different from the Project Management Circle, the Project circle has shown in the pictorial drawing below comprises of five stages</w:t>
      </w:r>
      <w:r w:rsidR="00824979">
        <w:rPr>
          <w:rFonts w:eastAsia="Arial"/>
          <w:lang w:val="en-US"/>
        </w:rPr>
        <w:t xml:space="preserve">. </w:t>
      </w:r>
    </w:p>
    <w:p w14:paraId="530B1FDD" w14:textId="42B3B104" w:rsidR="0017627D" w:rsidRDefault="00617727" w:rsidP="006D290A">
      <w:pPr>
        <w:rPr>
          <w:rFonts w:eastAsia="Arial"/>
          <w:lang w:val="en-US"/>
        </w:rPr>
      </w:pPr>
      <w:r>
        <w:rPr>
          <w:rFonts w:eastAsia="Arial"/>
          <w:lang w:val="en-US"/>
        </w:rPr>
        <w:t xml:space="preserve">Stage 1.  The process of initiating the Project – Where the Project team carryout consultation and gather data from and secondary source </w:t>
      </w:r>
    </w:p>
    <w:p w14:paraId="029AAC97" w14:textId="6ABC860A" w:rsidR="00617727" w:rsidRDefault="00617727" w:rsidP="006D290A">
      <w:pPr>
        <w:rPr>
          <w:rFonts w:eastAsia="Arial"/>
          <w:lang w:val="en-US"/>
        </w:rPr>
      </w:pPr>
      <w:r>
        <w:rPr>
          <w:rFonts w:eastAsia="Arial"/>
          <w:lang w:val="en-US"/>
        </w:rPr>
        <w:t xml:space="preserve">Stage 2. The planning process – this involves planning the whole activities and budget that will deliver the project </w:t>
      </w:r>
    </w:p>
    <w:p w14:paraId="5D6F2032" w14:textId="47CD9A3A" w:rsidR="00617727" w:rsidRDefault="00617727" w:rsidP="006D290A">
      <w:pPr>
        <w:rPr>
          <w:rFonts w:eastAsia="Arial"/>
          <w:lang w:val="en-US"/>
        </w:rPr>
      </w:pPr>
      <w:r>
        <w:rPr>
          <w:rFonts w:eastAsia="Arial"/>
          <w:lang w:val="en-US"/>
        </w:rPr>
        <w:t>Stage 3. Executing process/implementing the project</w:t>
      </w:r>
    </w:p>
    <w:p w14:paraId="35A26BD4" w14:textId="72B80C0F" w:rsidR="00617727" w:rsidRDefault="00617727" w:rsidP="006D290A">
      <w:pPr>
        <w:rPr>
          <w:rFonts w:eastAsia="Arial"/>
          <w:lang w:val="en-US"/>
        </w:rPr>
      </w:pPr>
      <w:r>
        <w:rPr>
          <w:rFonts w:eastAsia="Arial"/>
          <w:lang w:val="en-US"/>
        </w:rPr>
        <w:t xml:space="preserve">Stage 4. Monitoring and Evaluating the Project </w:t>
      </w:r>
    </w:p>
    <w:p w14:paraId="19B3833B" w14:textId="52EF69AB" w:rsidR="00617727" w:rsidRDefault="00617727" w:rsidP="006D290A">
      <w:pPr>
        <w:rPr>
          <w:rFonts w:eastAsia="Arial"/>
          <w:lang w:val="en-US"/>
        </w:rPr>
      </w:pPr>
      <w:r>
        <w:rPr>
          <w:rFonts w:eastAsia="Arial"/>
          <w:lang w:val="en-US"/>
        </w:rPr>
        <w:t xml:space="preserve">Stage 5. Closing out the process /bring the project to an end and sustaining it. </w:t>
      </w:r>
    </w:p>
    <w:p w14:paraId="4D4BE529" w14:textId="248EFBD3" w:rsidR="0017627D" w:rsidRDefault="0017627D" w:rsidP="006D290A">
      <w:pPr>
        <w:rPr>
          <w:rFonts w:eastAsia="Arial"/>
          <w:lang w:val="en-US"/>
        </w:rPr>
      </w:pPr>
    </w:p>
    <w:p w14:paraId="59CB39EE" w14:textId="3A3FF573" w:rsidR="0017627D" w:rsidRDefault="00824979" w:rsidP="00984E28">
      <w:pPr>
        <w:jc w:val="center"/>
        <w:rPr>
          <w:rFonts w:eastAsia="Arial"/>
          <w:lang w:val="en-US"/>
        </w:rPr>
      </w:pPr>
      <w:r>
        <w:rPr>
          <w:noProof/>
        </w:rPr>
        <w:drawing>
          <wp:inline distT="0" distB="0" distL="0" distR="0" wp14:anchorId="27633666" wp14:editId="6870004B">
            <wp:extent cx="3447227" cy="3384550"/>
            <wp:effectExtent l="171450" t="171450" r="363220" b="368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1" t="13757" r="20139" b="7672"/>
                    <a:stretch/>
                  </pic:blipFill>
                  <pic:spPr bwMode="auto">
                    <a:xfrm>
                      <a:off x="0" y="0"/>
                      <a:ext cx="3448370" cy="3385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7F411" w14:textId="5564665B" w:rsidR="00617727" w:rsidRDefault="00617727" w:rsidP="006D290A">
      <w:pPr>
        <w:rPr>
          <w:rFonts w:eastAsia="Arial"/>
          <w:b/>
          <w:bCs/>
          <w:lang w:val="en-US"/>
        </w:rPr>
      </w:pPr>
      <w:r w:rsidRPr="00617727">
        <w:rPr>
          <w:rFonts w:eastAsia="Arial"/>
          <w:b/>
          <w:bCs/>
          <w:lang w:val="en-US"/>
        </w:rPr>
        <w:t xml:space="preserve">Background </w:t>
      </w:r>
    </w:p>
    <w:p w14:paraId="157671CC" w14:textId="059874E3" w:rsidR="00A322DD" w:rsidRDefault="00FD1C1B" w:rsidP="00A322DD">
      <w:pPr>
        <w:spacing w:line="276" w:lineRule="auto"/>
        <w:jc w:val="both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The main challenge in the development in our time is the insecurity, insecurity can lead to conflict which </w:t>
      </w:r>
      <w:proofErr w:type="spellStart"/>
      <w:r>
        <w:rPr>
          <w:rFonts w:eastAsia="Arial"/>
          <w:lang w:val="en-US"/>
        </w:rPr>
        <w:t>distabilised</w:t>
      </w:r>
      <w:proofErr w:type="spellEnd"/>
      <w:r>
        <w:rPr>
          <w:rFonts w:eastAsia="Arial"/>
          <w:lang w:val="en-US"/>
        </w:rPr>
        <w:t xml:space="preserve"> a peace in any society. The World Bank 2011 report shows that o</w:t>
      </w:r>
      <w:r w:rsidR="006D290A">
        <w:rPr>
          <w:rFonts w:eastAsia="Arial"/>
        </w:rPr>
        <w:t>ne in four, or 1.5 billion people, live in fragile and conflict affected states or in countries with very high levels of criminal violence</w:t>
      </w:r>
      <w:r>
        <w:rPr>
          <w:rFonts w:eastAsia="Arial"/>
          <w:lang w:val="en-US"/>
        </w:rPr>
        <w:t xml:space="preserve"> across the world. The report also states that c</w:t>
      </w:r>
      <w:proofErr w:type="spellStart"/>
      <w:r w:rsidR="006D290A">
        <w:rPr>
          <w:rFonts w:eastAsia="Arial"/>
        </w:rPr>
        <w:t>ountries</w:t>
      </w:r>
      <w:proofErr w:type="spellEnd"/>
      <w:r w:rsidR="006D290A">
        <w:rPr>
          <w:rFonts w:eastAsia="Arial"/>
        </w:rPr>
        <w:t xml:space="preserve"> affected by conflict experience higher levels of </w:t>
      </w:r>
      <w:r>
        <w:rPr>
          <w:rFonts w:eastAsia="Arial"/>
          <w:lang w:val="en-US"/>
        </w:rPr>
        <w:t xml:space="preserve">poverty. It is a known fact that </w:t>
      </w:r>
      <w:r w:rsidR="006D290A">
        <w:rPr>
          <w:rFonts w:eastAsia="Arial"/>
        </w:rPr>
        <w:t>that conflict and fragility are key barriers to human development</w:t>
      </w:r>
      <w:r>
        <w:rPr>
          <w:rFonts w:eastAsia="Arial"/>
          <w:lang w:val="en-US"/>
        </w:rPr>
        <w:t xml:space="preserve">. </w:t>
      </w:r>
    </w:p>
    <w:p w14:paraId="44C8E562" w14:textId="4EB1B283" w:rsidR="00A322DD" w:rsidRDefault="00A322DD" w:rsidP="00A322DD">
      <w:pPr>
        <w:spacing w:line="276" w:lineRule="auto"/>
        <w:jc w:val="both"/>
        <w:rPr>
          <w:rFonts w:eastAsia="Arial"/>
          <w:lang w:val="en-US"/>
        </w:rPr>
      </w:pPr>
      <w:r>
        <w:rPr>
          <w:rFonts w:eastAsia="Arial"/>
          <w:lang w:val="en-US"/>
        </w:rPr>
        <w:lastRenderedPageBreak/>
        <w:t xml:space="preserve">In recent time there has been conflict which has led to high rate of </w:t>
      </w:r>
      <w:r w:rsidR="009829B6">
        <w:rPr>
          <w:rFonts w:eastAsia="Arial"/>
          <w:lang w:val="en-US"/>
        </w:rPr>
        <w:t>insecurity in</w:t>
      </w:r>
      <w:r>
        <w:rPr>
          <w:rFonts w:eastAsia="Arial"/>
          <w:lang w:val="en-US"/>
        </w:rPr>
        <w:t xml:space="preserve"> Nigeria. </w:t>
      </w:r>
      <w:r w:rsidR="009829B6">
        <w:rPr>
          <w:rFonts w:eastAsia="Arial"/>
          <w:lang w:val="en-US"/>
        </w:rPr>
        <w:t xml:space="preserve">Plateau State in Nigeria has become unique to the types of conflict and insecurity that state has experienced religious and ethnicity conflict that has continue to besiege the state. </w:t>
      </w:r>
    </w:p>
    <w:p w14:paraId="65DE84D8" w14:textId="2865BBC5" w:rsidR="009829B6" w:rsidRDefault="009829B6" w:rsidP="00A322DD">
      <w:pPr>
        <w:spacing w:line="276" w:lineRule="auto"/>
        <w:jc w:val="both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This project will provide measures that is expected to address the conflict situation in Plateau State. </w:t>
      </w:r>
    </w:p>
    <w:p w14:paraId="61E1481C" w14:textId="77777777" w:rsidR="009B3276" w:rsidRDefault="009B3276" w:rsidP="00A322DD">
      <w:pPr>
        <w:spacing w:line="276" w:lineRule="auto"/>
        <w:jc w:val="both"/>
        <w:rPr>
          <w:rFonts w:eastAsia="Arial"/>
          <w:lang w:val="en-US"/>
        </w:rPr>
      </w:pPr>
    </w:p>
    <w:p w14:paraId="4A266D9C" w14:textId="26DC215C" w:rsidR="00FA394C" w:rsidRDefault="00FA394C" w:rsidP="00FA394C">
      <w:pPr>
        <w:pStyle w:val="Heading1"/>
        <w:rPr>
          <w:rFonts w:eastAsia="Arial"/>
          <w:b/>
          <w:bCs/>
          <w:lang w:val="en-US"/>
        </w:rPr>
      </w:pPr>
      <w:r w:rsidRPr="00FA394C">
        <w:rPr>
          <w:rFonts w:eastAsia="Arial"/>
          <w:b/>
          <w:bCs/>
          <w:lang w:val="en-US"/>
        </w:rPr>
        <w:t xml:space="preserve">Initiating the Project </w:t>
      </w:r>
    </w:p>
    <w:p w14:paraId="65F88FB3" w14:textId="78777B3A" w:rsidR="00984E28" w:rsidRDefault="00984E28" w:rsidP="006621A6">
      <w:pPr>
        <w:spacing w:line="360" w:lineRule="auto"/>
        <w:rPr>
          <w:lang w:val="en-US"/>
        </w:rPr>
      </w:pPr>
      <w:r>
        <w:rPr>
          <w:lang w:val="en-US"/>
        </w:rPr>
        <w:t>At the initiating State – A project team will be set up led by a project Manager/Officer.</w:t>
      </w:r>
    </w:p>
    <w:p w14:paraId="1ABF56C2" w14:textId="40099E04" w:rsidR="00984E28" w:rsidRPr="00984E28" w:rsidRDefault="00984E28" w:rsidP="006621A6">
      <w:pPr>
        <w:spacing w:line="360" w:lineRule="auto"/>
        <w:rPr>
          <w:lang w:val="en-US"/>
        </w:rPr>
      </w:pPr>
      <w:r>
        <w:rPr>
          <w:lang w:val="en-US"/>
        </w:rPr>
        <w:t xml:space="preserve">The team working </w:t>
      </w:r>
      <w:r w:rsidR="00E43702">
        <w:rPr>
          <w:lang w:val="en-US"/>
        </w:rPr>
        <w:t>in collaboration with the State will set up</w:t>
      </w:r>
      <w:r w:rsidR="006621A6">
        <w:rPr>
          <w:lang w:val="en-US"/>
        </w:rPr>
        <w:t xml:space="preserve"> a </w:t>
      </w:r>
      <w:r w:rsidR="003B7992">
        <w:rPr>
          <w:lang w:val="en-US"/>
        </w:rPr>
        <w:t xml:space="preserve">committee </w:t>
      </w:r>
      <w:r w:rsidR="00D74217">
        <w:rPr>
          <w:lang w:val="en-US"/>
        </w:rPr>
        <w:t xml:space="preserve">that will work with </w:t>
      </w:r>
      <w:r w:rsidR="00B46928">
        <w:rPr>
          <w:lang w:val="en-US"/>
        </w:rPr>
        <w:t>Project team to deliver the project. This committee will also be responsible fo</w:t>
      </w:r>
      <w:r w:rsidR="00403D8F">
        <w:rPr>
          <w:lang w:val="en-US"/>
        </w:rPr>
        <w:t xml:space="preserve">r sustainability of the project beyond the project circle. </w:t>
      </w:r>
    </w:p>
    <w:p w14:paraId="5B4C098B" w14:textId="259F679D" w:rsidR="0020269C" w:rsidRDefault="0023415E" w:rsidP="00EE40E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project </w:t>
      </w:r>
      <w:r w:rsidR="004D24B4">
        <w:rPr>
          <w:lang w:val="en-US"/>
        </w:rPr>
        <w:t>recognizes</w:t>
      </w:r>
      <w:r>
        <w:rPr>
          <w:lang w:val="en-US"/>
        </w:rPr>
        <w:t xml:space="preserve"> the fact that </w:t>
      </w:r>
      <w:r w:rsidR="004D24B4">
        <w:rPr>
          <w:lang w:val="en-US"/>
        </w:rPr>
        <w:t xml:space="preserve">there are different level of </w:t>
      </w:r>
      <w:r w:rsidR="00940F2C">
        <w:rPr>
          <w:lang w:val="en-US"/>
        </w:rPr>
        <w:t xml:space="preserve">decision making process in the State and will be </w:t>
      </w:r>
      <w:r w:rsidR="0076223A">
        <w:rPr>
          <w:lang w:val="en-US"/>
        </w:rPr>
        <w:t>consulting all the levels, starting at the State level, members of House of Assembly, Commissioners</w:t>
      </w:r>
      <w:r w:rsidR="0017325B">
        <w:rPr>
          <w:lang w:val="en-US"/>
        </w:rPr>
        <w:t xml:space="preserve"> and directors of all relevant agencies </w:t>
      </w:r>
      <w:r w:rsidR="00EE40E1">
        <w:rPr>
          <w:lang w:val="en-US"/>
        </w:rPr>
        <w:t>at the State level, meeting</w:t>
      </w:r>
      <w:r w:rsidR="006338FA">
        <w:rPr>
          <w:lang w:val="en-US"/>
        </w:rPr>
        <w:t xml:space="preserve">s with all traditional councils at the local government level </w:t>
      </w:r>
      <w:r w:rsidR="008A439F">
        <w:rPr>
          <w:lang w:val="en-US"/>
        </w:rPr>
        <w:t xml:space="preserve">and with local government chairmen to discuss and </w:t>
      </w:r>
      <w:r w:rsidR="00202CDB">
        <w:rPr>
          <w:lang w:val="en-US"/>
        </w:rPr>
        <w:t>gather information on the nature of the conflict and in</w:t>
      </w:r>
      <w:r w:rsidR="000E28C1">
        <w:rPr>
          <w:lang w:val="en-US"/>
        </w:rPr>
        <w:t xml:space="preserve">security </w:t>
      </w:r>
      <w:r w:rsidR="009F4C64">
        <w:rPr>
          <w:lang w:val="en-US"/>
        </w:rPr>
        <w:t xml:space="preserve">in the state and at the local government level. </w:t>
      </w:r>
    </w:p>
    <w:p w14:paraId="55F6080D" w14:textId="5557345F" w:rsidR="0099317C" w:rsidRDefault="009F4C64" w:rsidP="00EE40E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There will also be meetings with </w:t>
      </w:r>
      <w:r w:rsidR="00E83E39">
        <w:rPr>
          <w:lang w:val="en-US"/>
        </w:rPr>
        <w:t>communities’</w:t>
      </w:r>
      <w:r w:rsidR="009F181C">
        <w:rPr>
          <w:lang w:val="en-US"/>
        </w:rPr>
        <w:t xml:space="preserve"> leaders, youth leaders, religious body leaders, women leaders, political to gather information on the </w:t>
      </w:r>
      <w:r w:rsidR="00C50214">
        <w:rPr>
          <w:lang w:val="en-US"/>
        </w:rPr>
        <w:t xml:space="preserve">economic and political structure from the grassroot and the </w:t>
      </w:r>
      <w:r w:rsidR="0094505B">
        <w:rPr>
          <w:lang w:val="en-US"/>
        </w:rPr>
        <w:t xml:space="preserve">type of </w:t>
      </w:r>
      <w:r w:rsidR="00E83E39">
        <w:rPr>
          <w:lang w:val="en-US"/>
        </w:rPr>
        <w:t>decision-making</w:t>
      </w:r>
      <w:r w:rsidR="00931086">
        <w:rPr>
          <w:lang w:val="en-US"/>
        </w:rPr>
        <w:t xml:space="preserve"> process that are used at this level. </w:t>
      </w:r>
      <w:r w:rsidR="00835D2D">
        <w:rPr>
          <w:lang w:val="en-US"/>
        </w:rPr>
        <w:t xml:space="preserve">All the data </w:t>
      </w:r>
      <w:r w:rsidR="00403D8F">
        <w:rPr>
          <w:lang w:val="en-US"/>
        </w:rPr>
        <w:t>gathered from</w:t>
      </w:r>
      <w:r w:rsidR="00984E28">
        <w:rPr>
          <w:lang w:val="en-US"/>
        </w:rPr>
        <w:t xml:space="preserve"> all </w:t>
      </w:r>
      <w:r w:rsidR="0083622F">
        <w:rPr>
          <w:lang w:val="en-US"/>
        </w:rPr>
        <w:t>stakeholders</w:t>
      </w:r>
      <w:r w:rsidR="00984E28">
        <w:rPr>
          <w:lang w:val="en-US"/>
        </w:rPr>
        <w:t xml:space="preserve"> </w:t>
      </w:r>
      <w:r w:rsidR="00835D2D">
        <w:rPr>
          <w:lang w:val="en-US"/>
        </w:rPr>
        <w:t xml:space="preserve">will be presented to </w:t>
      </w:r>
      <w:r w:rsidR="00D71A30">
        <w:rPr>
          <w:lang w:val="en-US"/>
        </w:rPr>
        <w:t>the</w:t>
      </w:r>
      <w:r w:rsidR="00835D2D">
        <w:rPr>
          <w:lang w:val="en-US"/>
        </w:rPr>
        <w:t xml:space="preserve"> committee set </w:t>
      </w:r>
      <w:r w:rsidR="00984E28">
        <w:rPr>
          <w:lang w:val="en-US"/>
        </w:rPr>
        <w:t>to w</w:t>
      </w:r>
      <w:r w:rsidR="00403D8F">
        <w:rPr>
          <w:lang w:val="en-US"/>
        </w:rPr>
        <w:t>o</w:t>
      </w:r>
      <w:r w:rsidR="00984E28">
        <w:rPr>
          <w:lang w:val="en-US"/>
        </w:rPr>
        <w:t xml:space="preserve">rk </w:t>
      </w:r>
      <w:r w:rsidR="00D71A30">
        <w:rPr>
          <w:lang w:val="en-US"/>
        </w:rPr>
        <w:t xml:space="preserve">with project team. The group will work to gather to analysis the data and used the information for the planning stage. </w:t>
      </w:r>
      <w:r w:rsidR="0083622F">
        <w:rPr>
          <w:lang w:val="en-US"/>
        </w:rPr>
        <w:t xml:space="preserve"> </w:t>
      </w:r>
      <w:r w:rsidR="0099317C">
        <w:rPr>
          <w:lang w:val="en-US"/>
        </w:rPr>
        <w:t xml:space="preserve">This stage also involved identifying sources of funding for the project </w:t>
      </w:r>
    </w:p>
    <w:p w14:paraId="2B52618C" w14:textId="539A8255" w:rsidR="00D71A30" w:rsidRDefault="00D71A30" w:rsidP="009B3276">
      <w:pPr>
        <w:pStyle w:val="Heading1"/>
        <w:spacing w:before="0"/>
        <w:rPr>
          <w:b/>
          <w:bCs/>
          <w:lang w:val="en-US"/>
        </w:rPr>
      </w:pPr>
      <w:r w:rsidRPr="00D71A30">
        <w:rPr>
          <w:b/>
          <w:bCs/>
          <w:lang w:val="en-US"/>
        </w:rPr>
        <w:t xml:space="preserve">Planning Process </w:t>
      </w:r>
    </w:p>
    <w:p w14:paraId="2E473848" w14:textId="4A4F9C46" w:rsidR="0026589A" w:rsidRDefault="0099317C" w:rsidP="0026589A">
      <w:pPr>
        <w:rPr>
          <w:lang w:val="en-US"/>
        </w:rPr>
      </w:pPr>
      <w:r>
        <w:rPr>
          <w:lang w:val="en-US"/>
        </w:rPr>
        <w:t xml:space="preserve">The planning process involves several activities which includes </w:t>
      </w:r>
      <w:r w:rsidR="007B5F37">
        <w:rPr>
          <w:lang w:val="en-US"/>
        </w:rPr>
        <w:t>validating the source of funding</w:t>
      </w:r>
      <w:r w:rsidR="00425DEA">
        <w:rPr>
          <w:lang w:val="en-US"/>
        </w:rPr>
        <w:t>, Developing the log frame which will guide the project</w:t>
      </w:r>
      <w:r w:rsidR="00D80B4E">
        <w:rPr>
          <w:lang w:val="en-US"/>
        </w:rPr>
        <w:t xml:space="preserve"> delivery</w:t>
      </w:r>
      <w:r w:rsidR="00832496">
        <w:rPr>
          <w:lang w:val="en-US"/>
        </w:rPr>
        <w:t xml:space="preserve">: </w:t>
      </w:r>
    </w:p>
    <w:p w14:paraId="67A74BDC" w14:textId="77777777" w:rsidR="00422EBF" w:rsidRPr="00832496" w:rsidRDefault="00832496" w:rsidP="0026589A">
      <w:pPr>
        <w:rPr>
          <w:lang w:val="en-US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  <w:lang w:val="en-US"/>
        </w:rPr>
        <w:t>\</w:t>
      </w:r>
    </w:p>
    <w:tbl>
      <w:tblPr>
        <w:tblStyle w:val="GridTable5Dark-Accent5"/>
        <w:tblW w:w="10774" w:type="dxa"/>
        <w:tblInd w:w="-289" w:type="dxa"/>
        <w:tblLook w:val="04A0" w:firstRow="1" w:lastRow="0" w:firstColumn="1" w:lastColumn="0" w:noHBand="0" w:noVBand="1"/>
      </w:tblPr>
      <w:tblGrid>
        <w:gridCol w:w="4253"/>
        <w:gridCol w:w="2552"/>
        <w:gridCol w:w="2126"/>
        <w:gridCol w:w="1843"/>
      </w:tblGrid>
      <w:tr w:rsidR="0053557E" w:rsidRPr="0053557E" w14:paraId="69DBF6BD" w14:textId="77777777" w:rsidTr="009B3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8163375" w14:textId="756A78C1" w:rsidR="00422EBF" w:rsidRPr="0053557E" w:rsidRDefault="00422EBF" w:rsidP="00404A45">
            <w:pPr>
              <w:spacing w:line="237" w:lineRule="auto"/>
              <w:rPr>
                <w:color w:val="auto"/>
                <w:sz w:val="20"/>
                <w:szCs w:val="20"/>
                <w:lang w:val="en-US"/>
              </w:rPr>
            </w:pPr>
            <w:r w:rsidRPr="0053557E">
              <w:rPr>
                <w:color w:val="auto"/>
                <w:sz w:val="20"/>
                <w:szCs w:val="20"/>
                <w:lang w:val="en-US"/>
              </w:rPr>
              <w:t xml:space="preserve">Goal: Reduce conflict and eradicate insecurity in the Plateau State </w:t>
            </w:r>
          </w:p>
        </w:tc>
        <w:tc>
          <w:tcPr>
            <w:tcW w:w="2552" w:type="dxa"/>
          </w:tcPr>
          <w:p w14:paraId="26C0BEA3" w14:textId="219CDC8E" w:rsidR="00422EBF" w:rsidRPr="008948DF" w:rsidRDefault="00422EBF" w:rsidP="00BF07F5">
            <w:pPr>
              <w:spacing w:line="23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8948DF">
              <w:rPr>
                <w:color w:val="auto"/>
                <w:sz w:val="20"/>
                <w:szCs w:val="20"/>
                <w:lang w:val="en-US"/>
              </w:rPr>
              <w:t>Measurable Indicators</w:t>
            </w:r>
          </w:p>
        </w:tc>
        <w:tc>
          <w:tcPr>
            <w:tcW w:w="2126" w:type="dxa"/>
          </w:tcPr>
          <w:p w14:paraId="4B5E305B" w14:textId="77777777" w:rsidR="00422EBF" w:rsidRPr="008948DF" w:rsidRDefault="00422EBF" w:rsidP="00BF07F5">
            <w:pPr>
              <w:spacing w:line="23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8948DF">
              <w:rPr>
                <w:color w:val="auto"/>
                <w:sz w:val="20"/>
                <w:szCs w:val="20"/>
                <w:lang w:val="en-US"/>
              </w:rPr>
              <w:t>Means of Verification</w:t>
            </w:r>
          </w:p>
        </w:tc>
        <w:tc>
          <w:tcPr>
            <w:tcW w:w="1843" w:type="dxa"/>
          </w:tcPr>
          <w:p w14:paraId="7771F549" w14:textId="77777777" w:rsidR="00422EBF" w:rsidRPr="008948DF" w:rsidRDefault="00422EBF" w:rsidP="00BF07F5">
            <w:pPr>
              <w:spacing w:line="23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8948DF">
              <w:rPr>
                <w:color w:val="auto"/>
                <w:sz w:val="20"/>
                <w:szCs w:val="20"/>
                <w:lang w:val="en-US"/>
              </w:rPr>
              <w:t>Assumption/Risks</w:t>
            </w:r>
          </w:p>
        </w:tc>
      </w:tr>
      <w:tr w:rsidR="0053557E" w:rsidRPr="0053557E" w14:paraId="7F0BC378" w14:textId="77777777" w:rsidTr="009B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695AF5D" w14:textId="77777777" w:rsidR="00422EBF" w:rsidRPr="0053557E" w:rsidRDefault="00422EBF" w:rsidP="00404A45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53557E">
              <w:rPr>
                <w:color w:val="auto"/>
                <w:sz w:val="20"/>
                <w:szCs w:val="20"/>
                <w:lang w:val="en-US"/>
              </w:rPr>
              <w:t>Objectives:</w:t>
            </w:r>
          </w:p>
          <w:p w14:paraId="2775628C" w14:textId="26471516" w:rsidR="00422EBF" w:rsidRPr="00A16CA4" w:rsidRDefault="00A16CA4" w:rsidP="0053557E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A16CA4">
              <w:rPr>
                <w:rFonts w:eastAsia="Arial"/>
                <w:b w:val="0"/>
                <w:bCs w:val="0"/>
                <w:color w:val="auto"/>
                <w:sz w:val="20"/>
                <w:szCs w:val="20"/>
                <w:lang w:val="en-US"/>
              </w:rPr>
              <w:t>T</w:t>
            </w:r>
            <w:r w:rsidR="00422EBF" w:rsidRPr="00A16CA4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 xml:space="preserve">o increase institutional capacities </w:t>
            </w:r>
            <w:r w:rsidR="00422EBF" w:rsidRPr="00A16CA4">
              <w:rPr>
                <w:rFonts w:eastAsia="Arial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of relevant stakeholders </w:t>
            </w:r>
            <w:r w:rsidR="00422EBF" w:rsidRPr="00A16CA4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>to supply conflict sensitive and peace education</w:t>
            </w:r>
            <w:r w:rsidR="00422EBF" w:rsidRPr="00A16CA4">
              <w:rPr>
                <w:rFonts w:eastAsia="Arial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to the state </w:t>
            </w:r>
          </w:p>
        </w:tc>
        <w:tc>
          <w:tcPr>
            <w:tcW w:w="2552" w:type="dxa"/>
          </w:tcPr>
          <w:p w14:paraId="5D524D94" w14:textId="2182068D" w:rsidR="00422EBF" w:rsidRPr="0053557E" w:rsidRDefault="00E96D1B" w:rsidP="00404A45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% of stakeholders </w:t>
            </w:r>
            <w:r w:rsidR="00BA2276">
              <w:rPr>
                <w:sz w:val="20"/>
                <w:szCs w:val="20"/>
                <w:lang w:val="en-US"/>
              </w:rPr>
              <w:t xml:space="preserve">participating in </w:t>
            </w:r>
            <w:r w:rsidR="009D4FF8">
              <w:rPr>
                <w:sz w:val="20"/>
                <w:szCs w:val="20"/>
                <w:lang w:val="en-US"/>
              </w:rPr>
              <w:t xml:space="preserve">peace education </w:t>
            </w:r>
          </w:p>
        </w:tc>
        <w:tc>
          <w:tcPr>
            <w:tcW w:w="2126" w:type="dxa"/>
          </w:tcPr>
          <w:p w14:paraId="621B2E1C" w14:textId="77777777" w:rsidR="00422EBF" w:rsidRDefault="006417F0" w:rsidP="00404A45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Attendance sheet </w:t>
            </w:r>
          </w:p>
          <w:p w14:paraId="397713DD" w14:textId="1D7D0D28" w:rsidR="006417F0" w:rsidRPr="0053557E" w:rsidRDefault="006417F0" w:rsidP="00404A45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reports </w:t>
            </w:r>
          </w:p>
        </w:tc>
        <w:tc>
          <w:tcPr>
            <w:tcW w:w="1843" w:type="dxa"/>
          </w:tcPr>
          <w:p w14:paraId="2841CABF" w14:textId="77777777" w:rsidR="00422EBF" w:rsidRPr="0053557E" w:rsidRDefault="00422EBF" w:rsidP="00404A45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3557E" w:rsidRPr="0053557E" w14:paraId="4A26A4A5" w14:textId="77777777" w:rsidTr="009B3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9F2F7DD" w14:textId="77777777" w:rsidR="00422EBF" w:rsidRPr="0053557E" w:rsidRDefault="004077E5" w:rsidP="00404A45">
            <w:pPr>
              <w:spacing w:line="237" w:lineRule="auto"/>
              <w:rPr>
                <w:color w:val="auto"/>
                <w:sz w:val="20"/>
                <w:szCs w:val="20"/>
                <w:lang w:val="en-US"/>
              </w:rPr>
            </w:pPr>
            <w:r w:rsidRPr="0053557E">
              <w:rPr>
                <w:color w:val="auto"/>
                <w:sz w:val="20"/>
                <w:szCs w:val="20"/>
                <w:lang w:val="en-US"/>
              </w:rPr>
              <w:t>Outcome</w:t>
            </w:r>
            <w:r w:rsidRPr="0053557E">
              <w:rPr>
                <w:color w:val="auto"/>
                <w:sz w:val="20"/>
                <w:szCs w:val="20"/>
                <w:lang w:val="en-US"/>
              </w:rPr>
              <w:t>s</w:t>
            </w:r>
            <w:r w:rsidR="0073604C" w:rsidRPr="0053557E">
              <w:rPr>
                <w:color w:val="auto"/>
                <w:sz w:val="20"/>
                <w:szCs w:val="20"/>
                <w:lang w:val="en-US"/>
              </w:rPr>
              <w:t xml:space="preserve">: </w:t>
            </w:r>
          </w:p>
          <w:p w14:paraId="7780932D" w14:textId="023A60AD" w:rsidR="0073604C" w:rsidRPr="0053557E" w:rsidRDefault="00D0596E" w:rsidP="00D0596E">
            <w:pPr>
              <w:spacing w:line="237" w:lineRule="auto"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53557E">
              <w:rPr>
                <w:color w:val="auto"/>
                <w:sz w:val="20"/>
                <w:szCs w:val="20"/>
                <w:lang w:val="en-US"/>
              </w:rPr>
              <w:t>-</w:t>
            </w:r>
            <w:r w:rsidR="00FD5E72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S</w:t>
            </w:r>
            <w:r w:rsidR="006D0B43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elected </w:t>
            </w:r>
            <w:r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individuals’</w:t>
            </w:r>
            <w:r w:rsidR="002329C6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F741F4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capac</w:t>
            </w:r>
            <w:r w:rsidR="00D8084B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ities </w:t>
            </w:r>
            <w:r w:rsidR="000E7CE7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are developed to mitigate conflict </w:t>
            </w:r>
          </w:p>
          <w:p w14:paraId="0156DABE" w14:textId="47981A78" w:rsidR="000E7CE7" w:rsidRPr="0053557E" w:rsidRDefault="00D0596E" w:rsidP="00404A45">
            <w:pPr>
              <w:spacing w:line="237" w:lineRule="auto"/>
              <w:rPr>
                <w:color w:val="auto"/>
                <w:sz w:val="20"/>
                <w:szCs w:val="20"/>
                <w:lang w:val="en-US"/>
              </w:rPr>
            </w:pPr>
            <w:r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-</w:t>
            </w:r>
            <w:r w:rsidR="00E60DC4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Access to </w:t>
            </w:r>
            <w:r w:rsidR="00E47E5B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conflict management education for stakeholders</w:t>
            </w:r>
            <w:r w:rsidR="00E47E5B" w:rsidRPr="0053557E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7C126025" w14:textId="1DF1618A" w:rsidR="00422EBF" w:rsidRPr="0053557E" w:rsidRDefault="009D4FF8" w:rsidP="00404A45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Number of individuals trained on </w:t>
            </w:r>
            <w:r w:rsidR="00D16340">
              <w:rPr>
                <w:sz w:val="20"/>
                <w:szCs w:val="20"/>
                <w:lang w:val="en-US"/>
              </w:rPr>
              <w:t xml:space="preserve">conflict management </w:t>
            </w:r>
          </w:p>
        </w:tc>
        <w:tc>
          <w:tcPr>
            <w:tcW w:w="2126" w:type="dxa"/>
          </w:tcPr>
          <w:p w14:paraId="0F4095C2" w14:textId="77777777" w:rsidR="006417F0" w:rsidRDefault="006417F0" w:rsidP="006417F0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Attendance sheet </w:t>
            </w:r>
          </w:p>
          <w:p w14:paraId="67FF6353" w14:textId="3BBDF078" w:rsidR="00422EBF" w:rsidRPr="0053557E" w:rsidRDefault="006417F0" w:rsidP="006417F0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Project reports</w:t>
            </w:r>
          </w:p>
        </w:tc>
        <w:tc>
          <w:tcPr>
            <w:tcW w:w="1843" w:type="dxa"/>
          </w:tcPr>
          <w:p w14:paraId="4B926482" w14:textId="01D255CF" w:rsidR="00422EBF" w:rsidRPr="0053557E" w:rsidRDefault="00BE4F51" w:rsidP="00404A45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Willingness of stakeholders to participate and </w:t>
            </w:r>
            <w:r w:rsidR="00D81583">
              <w:rPr>
                <w:sz w:val="20"/>
                <w:szCs w:val="20"/>
                <w:lang w:val="en-US"/>
              </w:rPr>
              <w:t xml:space="preserve">commitment to the project </w:t>
            </w:r>
          </w:p>
        </w:tc>
      </w:tr>
      <w:tr w:rsidR="0053557E" w:rsidRPr="0053557E" w14:paraId="724B8A43" w14:textId="77777777" w:rsidTr="009B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5069F5D" w14:textId="77777777" w:rsidR="00422EBF" w:rsidRPr="0053557E" w:rsidRDefault="00422EBF" w:rsidP="00404A45">
            <w:pPr>
              <w:spacing w:line="237" w:lineRule="auto"/>
              <w:rPr>
                <w:color w:val="auto"/>
                <w:sz w:val="20"/>
                <w:szCs w:val="20"/>
                <w:lang w:val="en-US"/>
              </w:rPr>
            </w:pPr>
            <w:r w:rsidRPr="0053557E">
              <w:rPr>
                <w:color w:val="auto"/>
                <w:sz w:val="20"/>
                <w:szCs w:val="20"/>
                <w:lang w:val="en-US"/>
              </w:rPr>
              <w:t>Outputs</w:t>
            </w:r>
            <w:r w:rsidR="0083622F" w:rsidRPr="0053557E">
              <w:rPr>
                <w:color w:val="auto"/>
                <w:sz w:val="20"/>
                <w:szCs w:val="20"/>
                <w:lang w:val="en-US"/>
              </w:rPr>
              <w:t xml:space="preserve">: </w:t>
            </w:r>
          </w:p>
          <w:p w14:paraId="3F335FF3" w14:textId="77777777" w:rsidR="0083622F" w:rsidRPr="0053557E" w:rsidRDefault="0083622F" w:rsidP="00404A45">
            <w:pPr>
              <w:spacing w:line="237" w:lineRule="auto"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-Increased number of stakeholders </w:t>
            </w:r>
            <w:r w:rsidR="00771675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trained on technique of mitigating conflict</w:t>
            </w:r>
          </w:p>
          <w:p w14:paraId="47872A7A" w14:textId="7A912792" w:rsidR="00435C7E" w:rsidRPr="0053557E" w:rsidRDefault="00435C7E" w:rsidP="00404A45">
            <w:pPr>
              <w:spacing w:line="237" w:lineRule="auto"/>
              <w:rPr>
                <w:color w:val="auto"/>
                <w:sz w:val="20"/>
                <w:szCs w:val="20"/>
                <w:lang w:val="en-US"/>
              </w:rPr>
            </w:pPr>
            <w:r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- </w:t>
            </w:r>
            <w:r w:rsidR="00C5265D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increased number of </w:t>
            </w:r>
            <w:r w:rsidR="00885EB8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conflicts</w:t>
            </w:r>
            <w:r w:rsidR="00C5265D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programme make available for sta</w:t>
            </w:r>
            <w:r w:rsidR="00893EAD" w:rsidRPr="0053557E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keholders</w:t>
            </w:r>
            <w:r w:rsidR="00893EAD" w:rsidRPr="0053557E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7CC29E30" w14:textId="45B3DCBB" w:rsidR="00422EBF" w:rsidRDefault="00505E68" w:rsidP="00404A45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Number of </w:t>
            </w:r>
            <w:r w:rsidR="00FB6749">
              <w:rPr>
                <w:sz w:val="20"/>
                <w:szCs w:val="20"/>
                <w:lang w:val="en-US"/>
              </w:rPr>
              <w:t>conflict</w:t>
            </w:r>
            <w:r w:rsidR="004A7DD9">
              <w:rPr>
                <w:sz w:val="20"/>
                <w:szCs w:val="20"/>
                <w:lang w:val="en-US"/>
              </w:rPr>
              <w:t>s</w:t>
            </w:r>
            <w:r w:rsidR="00FB6749">
              <w:rPr>
                <w:sz w:val="20"/>
                <w:szCs w:val="20"/>
                <w:lang w:val="en-US"/>
              </w:rPr>
              <w:t xml:space="preserve"> programme available for stakeholders </w:t>
            </w:r>
          </w:p>
          <w:p w14:paraId="277570AD" w14:textId="3A2AA284" w:rsidR="00FB6749" w:rsidRPr="0053557E" w:rsidRDefault="00B4575E" w:rsidP="00404A45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Number of stakeholders </w:t>
            </w:r>
            <w:r w:rsidR="00600ABC">
              <w:rPr>
                <w:sz w:val="20"/>
                <w:szCs w:val="20"/>
                <w:lang w:val="en-US"/>
              </w:rPr>
              <w:t xml:space="preserve">trained on technique </w:t>
            </w:r>
            <w:r w:rsidR="00366705">
              <w:rPr>
                <w:sz w:val="20"/>
                <w:szCs w:val="20"/>
                <w:lang w:val="en-US"/>
              </w:rPr>
              <w:t xml:space="preserve">on </w:t>
            </w:r>
            <w:r w:rsidR="00600ABC">
              <w:rPr>
                <w:sz w:val="20"/>
                <w:szCs w:val="20"/>
                <w:lang w:val="en-US"/>
              </w:rPr>
              <w:t xml:space="preserve">mitigating </w:t>
            </w:r>
            <w:r w:rsidR="00366705">
              <w:rPr>
                <w:sz w:val="20"/>
                <w:szCs w:val="20"/>
                <w:lang w:val="en-US"/>
              </w:rPr>
              <w:t xml:space="preserve">conflict </w:t>
            </w:r>
          </w:p>
        </w:tc>
        <w:tc>
          <w:tcPr>
            <w:tcW w:w="2126" w:type="dxa"/>
          </w:tcPr>
          <w:p w14:paraId="00BEFFE4" w14:textId="77777777" w:rsidR="006417F0" w:rsidRDefault="006417F0" w:rsidP="006417F0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Attendance sheet </w:t>
            </w:r>
          </w:p>
          <w:p w14:paraId="5F7054F8" w14:textId="3A6B8E91" w:rsidR="00422EBF" w:rsidRPr="0053557E" w:rsidRDefault="006417F0" w:rsidP="006417F0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Project reports</w:t>
            </w:r>
          </w:p>
        </w:tc>
        <w:tc>
          <w:tcPr>
            <w:tcW w:w="1843" w:type="dxa"/>
          </w:tcPr>
          <w:p w14:paraId="737889CE" w14:textId="77777777" w:rsidR="00422EBF" w:rsidRPr="0053557E" w:rsidRDefault="00422EBF" w:rsidP="00404A45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471AF" w:rsidRPr="0053557E" w14:paraId="03296A06" w14:textId="77777777" w:rsidTr="009B3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70411DE" w14:textId="674F1248" w:rsidR="00C471AF" w:rsidRPr="00C471AF" w:rsidRDefault="00C471AF" w:rsidP="00C471AF">
            <w:pPr>
              <w:spacing w:line="237" w:lineRule="auto"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Strategy Activities </w:t>
            </w:r>
            <w:r w:rsidRPr="00C471AF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22E5048" w14:textId="7264EE23" w:rsidR="00C471AF" w:rsidRPr="0053557E" w:rsidRDefault="00C471AF" w:rsidP="00404A45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 of activities carried out </w:t>
            </w:r>
          </w:p>
        </w:tc>
        <w:tc>
          <w:tcPr>
            <w:tcW w:w="2126" w:type="dxa"/>
            <w:vMerge w:val="restart"/>
          </w:tcPr>
          <w:p w14:paraId="6FCC3675" w14:textId="77777777" w:rsidR="00C471AF" w:rsidRDefault="00C471AF" w:rsidP="00404A45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Financial Reports,</w:t>
            </w:r>
          </w:p>
          <w:p w14:paraId="635C1C6E" w14:textId="77777777" w:rsidR="00C471AF" w:rsidRDefault="00C471AF" w:rsidP="00404A45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reports </w:t>
            </w:r>
          </w:p>
          <w:p w14:paraId="054596AF" w14:textId="77777777" w:rsidR="00C471AF" w:rsidRDefault="00C471AF" w:rsidP="00404A45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Attendance sheets </w:t>
            </w:r>
          </w:p>
          <w:p w14:paraId="1B564F97" w14:textId="77777777" w:rsidR="00C471AF" w:rsidRDefault="00C471AF" w:rsidP="00404A45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Baseline report</w:t>
            </w:r>
          </w:p>
          <w:p w14:paraId="55CAC3CE" w14:textId="708FC708" w:rsidR="00C471AF" w:rsidRPr="0053557E" w:rsidRDefault="00C471AF" w:rsidP="00404A45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M&amp;E reports </w:t>
            </w:r>
          </w:p>
        </w:tc>
        <w:tc>
          <w:tcPr>
            <w:tcW w:w="1843" w:type="dxa"/>
            <w:vMerge w:val="restart"/>
          </w:tcPr>
          <w:p w14:paraId="249A29F5" w14:textId="77777777" w:rsidR="00C471AF" w:rsidRDefault="00C471AF" w:rsidP="00404A45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Availability and timely </w:t>
            </w:r>
            <w:r w:rsidR="002F2842">
              <w:rPr>
                <w:sz w:val="20"/>
                <w:szCs w:val="20"/>
                <w:lang w:val="en-US"/>
              </w:rPr>
              <w:t xml:space="preserve">release of fund </w:t>
            </w:r>
          </w:p>
          <w:p w14:paraId="5EC69405" w14:textId="5BCE1D68" w:rsidR="002F2842" w:rsidRPr="0053557E" w:rsidRDefault="002F2842" w:rsidP="00404A45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Availability of </w:t>
            </w:r>
            <w:r w:rsidR="001E58AB">
              <w:rPr>
                <w:sz w:val="20"/>
                <w:szCs w:val="20"/>
                <w:lang w:val="en-US"/>
              </w:rPr>
              <w:t xml:space="preserve">skilled </w:t>
            </w:r>
            <w:proofErr w:type="spellStart"/>
            <w:r w:rsidR="00A967CC">
              <w:rPr>
                <w:sz w:val="20"/>
                <w:szCs w:val="20"/>
                <w:lang w:val="en-US"/>
              </w:rPr>
              <w:t>wokers</w:t>
            </w:r>
            <w:proofErr w:type="spellEnd"/>
            <w:r w:rsidR="00A967C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71AF" w:rsidRPr="0053557E" w14:paraId="2AED67F3" w14:textId="77777777" w:rsidTr="009B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14:paraId="0DA3C2E7" w14:textId="3068ADA8" w:rsidR="00C471AF" w:rsidRPr="00C471AF" w:rsidRDefault="00C471AF" w:rsidP="00C471AF">
            <w:pPr>
              <w:spacing w:line="237" w:lineRule="auto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C471AF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>Conflict Analyses</w:t>
            </w:r>
          </w:p>
        </w:tc>
        <w:tc>
          <w:tcPr>
            <w:tcW w:w="2552" w:type="dxa"/>
            <w:vMerge/>
          </w:tcPr>
          <w:p w14:paraId="5E78D582" w14:textId="77777777" w:rsidR="00C471AF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5CA3C1E7" w14:textId="77777777" w:rsidR="00C471AF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1152A76B" w14:textId="77777777" w:rsidR="00C471AF" w:rsidRPr="0053557E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471AF" w:rsidRPr="0053557E" w14:paraId="1E1251D3" w14:textId="77777777" w:rsidTr="009B3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14:paraId="548B5BA9" w14:textId="3ADAC413" w:rsidR="00C471AF" w:rsidRPr="00C471AF" w:rsidRDefault="00C471AF" w:rsidP="00C471AF">
            <w:pPr>
              <w:spacing w:line="237" w:lineRule="auto"/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C471AF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>Baseline Study</w:t>
            </w:r>
          </w:p>
        </w:tc>
        <w:tc>
          <w:tcPr>
            <w:tcW w:w="2552" w:type="dxa"/>
            <w:vMerge/>
          </w:tcPr>
          <w:p w14:paraId="01484142" w14:textId="77777777" w:rsidR="00C471AF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4BFC32CE" w14:textId="77777777" w:rsidR="00C471AF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2535DAA9" w14:textId="77777777" w:rsidR="00C471AF" w:rsidRPr="0053557E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471AF" w:rsidRPr="0053557E" w14:paraId="13867BE1" w14:textId="77777777" w:rsidTr="009B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14:paraId="0995674D" w14:textId="75A0CFA9" w:rsidR="00C471AF" w:rsidRPr="00C471AF" w:rsidRDefault="00C471AF" w:rsidP="00C471AF">
            <w:pPr>
              <w:spacing w:line="237" w:lineRule="auto"/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C471AF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>Programme Design</w:t>
            </w:r>
          </w:p>
        </w:tc>
        <w:tc>
          <w:tcPr>
            <w:tcW w:w="2552" w:type="dxa"/>
            <w:vMerge/>
          </w:tcPr>
          <w:p w14:paraId="43A8B975" w14:textId="77777777" w:rsidR="00C471AF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3ADF9818" w14:textId="77777777" w:rsidR="00C471AF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2EDA9B59" w14:textId="77777777" w:rsidR="00C471AF" w:rsidRPr="0053557E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471AF" w:rsidRPr="0053557E" w14:paraId="42D0EB9D" w14:textId="77777777" w:rsidTr="009B3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14:paraId="55942CBF" w14:textId="354B8087" w:rsidR="00C471AF" w:rsidRPr="00C471AF" w:rsidRDefault="00C471AF" w:rsidP="00C471AF">
            <w:pPr>
              <w:spacing w:line="237" w:lineRule="auto"/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C471AF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>Roll out</w:t>
            </w:r>
          </w:p>
        </w:tc>
        <w:tc>
          <w:tcPr>
            <w:tcW w:w="2552" w:type="dxa"/>
            <w:vMerge/>
          </w:tcPr>
          <w:p w14:paraId="30857766" w14:textId="77777777" w:rsidR="00C471AF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0B425FFF" w14:textId="77777777" w:rsidR="00C471AF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0C69683F" w14:textId="77777777" w:rsidR="00C471AF" w:rsidRPr="0053557E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471AF" w:rsidRPr="0053557E" w14:paraId="16A1F969" w14:textId="77777777" w:rsidTr="009B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14:paraId="1692760A" w14:textId="6000F3F3" w:rsidR="00C471AF" w:rsidRPr="00C471AF" w:rsidRDefault="00C471AF" w:rsidP="00C471AF">
            <w:pPr>
              <w:spacing w:line="237" w:lineRule="auto"/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C471AF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>Evaluability Assessment</w:t>
            </w:r>
          </w:p>
        </w:tc>
        <w:tc>
          <w:tcPr>
            <w:tcW w:w="2552" w:type="dxa"/>
            <w:vMerge/>
          </w:tcPr>
          <w:p w14:paraId="0BC72BC9" w14:textId="77777777" w:rsidR="00C471AF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72E782CD" w14:textId="77777777" w:rsidR="00C471AF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3691E8EF" w14:textId="77777777" w:rsidR="00C471AF" w:rsidRPr="0053557E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471AF" w:rsidRPr="0053557E" w14:paraId="56D22415" w14:textId="77777777" w:rsidTr="009B3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14:paraId="46A29D2E" w14:textId="56BF1437" w:rsidR="00C471AF" w:rsidRPr="00C471AF" w:rsidRDefault="00C471AF" w:rsidP="00C471AF">
            <w:pPr>
              <w:spacing w:line="237" w:lineRule="auto"/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C471AF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>Research Strategy</w:t>
            </w:r>
          </w:p>
        </w:tc>
        <w:tc>
          <w:tcPr>
            <w:tcW w:w="2552" w:type="dxa"/>
            <w:vMerge/>
          </w:tcPr>
          <w:p w14:paraId="6774C59A" w14:textId="77777777" w:rsidR="00C471AF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05CD8143" w14:textId="77777777" w:rsidR="00C471AF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37E4926D" w14:textId="77777777" w:rsidR="00C471AF" w:rsidRPr="0053557E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471AF" w:rsidRPr="0053557E" w14:paraId="0537DE06" w14:textId="77777777" w:rsidTr="009B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14:paraId="644592BD" w14:textId="4B4D2E46" w:rsidR="00C471AF" w:rsidRPr="00C471AF" w:rsidRDefault="00C471AF" w:rsidP="00C471AF">
            <w:pPr>
              <w:spacing w:line="237" w:lineRule="auto"/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C471AF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>Thematic Studies</w:t>
            </w:r>
          </w:p>
        </w:tc>
        <w:tc>
          <w:tcPr>
            <w:tcW w:w="2552" w:type="dxa"/>
            <w:vMerge/>
          </w:tcPr>
          <w:p w14:paraId="5C1B54C5" w14:textId="77777777" w:rsidR="00C471AF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1F8FE9ED" w14:textId="77777777" w:rsidR="00C471AF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6F0DF333" w14:textId="77777777" w:rsidR="00C471AF" w:rsidRPr="0053557E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471AF" w:rsidRPr="0053557E" w14:paraId="6E701213" w14:textId="77777777" w:rsidTr="009B3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14:paraId="07E67021" w14:textId="5C7267D3" w:rsidR="00C471AF" w:rsidRPr="00C471AF" w:rsidRDefault="00C471AF" w:rsidP="00C471AF">
            <w:pPr>
              <w:spacing w:line="237" w:lineRule="auto"/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C471AF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>Mid-term review</w:t>
            </w:r>
          </w:p>
        </w:tc>
        <w:tc>
          <w:tcPr>
            <w:tcW w:w="2552" w:type="dxa"/>
            <w:vMerge/>
          </w:tcPr>
          <w:p w14:paraId="2E684AC0" w14:textId="77777777" w:rsidR="00C471AF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72087A65" w14:textId="77777777" w:rsidR="00C471AF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A4C5BF1" w14:textId="77777777" w:rsidR="00C471AF" w:rsidRPr="0053557E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471AF" w:rsidRPr="0053557E" w14:paraId="39875D7F" w14:textId="77777777" w:rsidTr="009B3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14:paraId="0D02EC5F" w14:textId="191AA369" w:rsidR="00C471AF" w:rsidRPr="00C471AF" w:rsidRDefault="00C471AF" w:rsidP="00C471AF">
            <w:pPr>
              <w:spacing w:line="237" w:lineRule="auto"/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C471AF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>Independent Evaluation</w:t>
            </w:r>
          </w:p>
        </w:tc>
        <w:tc>
          <w:tcPr>
            <w:tcW w:w="2552" w:type="dxa"/>
            <w:vMerge/>
          </w:tcPr>
          <w:p w14:paraId="4432A552" w14:textId="77777777" w:rsidR="00C471AF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14:paraId="65FD0617" w14:textId="77777777" w:rsidR="00C471AF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36DF8F40" w14:textId="77777777" w:rsidR="00C471AF" w:rsidRPr="0053557E" w:rsidRDefault="00C471AF" w:rsidP="00C471AF">
            <w:pPr>
              <w:spacing w:line="23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C471AF" w:rsidRPr="0053557E" w14:paraId="4499472B" w14:textId="77777777" w:rsidTr="009B3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</w:tcPr>
          <w:p w14:paraId="202C5BD9" w14:textId="474C06A6" w:rsidR="00C471AF" w:rsidRPr="00C471AF" w:rsidRDefault="00C471AF" w:rsidP="00C471AF">
            <w:pPr>
              <w:spacing w:line="237" w:lineRule="auto"/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C471AF">
              <w:rPr>
                <w:rFonts w:eastAsia="Arial"/>
                <w:b w:val="0"/>
                <w:bCs w:val="0"/>
                <w:color w:val="auto"/>
                <w:sz w:val="20"/>
                <w:szCs w:val="20"/>
              </w:rPr>
              <w:t>Annual Report</w:t>
            </w:r>
          </w:p>
        </w:tc>
        <w:tc>
          <w:tcPr>
            <w:tcW w:w="2552" w:type="dxa"/>
          </w:tcPr>
          <w:p w14:paraId="60CC52C5" w14:textId="77777777" w:rsidR="00C471AF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9903F96" w14:textId="77777777" w:rsidR="00C471AF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DE4262C" w14:textId="77777777" w:rsidR="00C471AF" w:rsidRPr="0053557E" w:rsidRDefault="00C471AF" w:rsidP="00C471AF">
            <w:pPr>
              <w:spacing w:line="23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775BF720" w14:textId="77777777" w:rsidR="0026589A" w:rsidRPr="0026589A" w:rsidRDefault="0026589A" w:rsidP="0026589A">
      <w:pPr>
        <w:spacing w:line="237" w:lineRule="auto"/>
        <w:ind w:left="100"/>
        <w:rPr>
          <w:sz w:val="20"/>
          <w:szCs w:val="20"/>
          <w:lang w:val="en-US"/>
        </w:rPr>
      </w:pPr>
      <w:r w:rsidRPr="0053557E">
        <w:rPr>
          <w:rFonts w:ascii="Arial" w:eastAsia="Arial" w:hAnsi="Arial" w:cs="Arial"/>
          <w:color w:val="FFFFFF"/>
          <w:sz w:val="16"/>
          <w:szCs w:val="16"/>
        </w:rPr>
        <w:t>Strengthened resilience, social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cohesion and human security in conflict-affected contexts achieved.</w:t>
      </w:r>
    </w:p>
    <w:p w14:paraId="120DEC4C" w14:textId="39BAC418" w:rsidR="006D290A" w:rsidRPr="000C0861" w:rsidRDefault="00A000FE" w:rsidP="000C0861">
      <w:pPr>
        <w:pStyle w:val="Heading1"/>
        <w:spacing w:before="0"/>
        <w:rPr>
          <w:b/>
          <w:bCs/>
          <w:lang w:val="en-US"/>
        </w:rPr>
      </w:pPr>
      <w:r>
        <w:rPr>
          <w:b/>
          <w:bCs/>
          <w:lang w:val="en-US"/>
        </w:rPr>
        <w:t>Executing</w:t>
      </w:r>
      <w:r w:rsidR="00600600">
        <w:rPr>
          <w:b/>
          <w:bCs/>
          <w:lang w:val="en-US"/>
        </w:rPr>
        <w:t xml:space="preserve"> Process</w:t>
      </w:r>
      <w:r w:rsidR="00BB59F7" w:rsidRPr="000C0861">
        <w:rPr>
          <w:b/>
          <w:bCs/>
          <w:lang w:val="en-US"/>
        </w:rPr>
        <w:t xml:space="preserve"> </w:t>
      </w:r>
    </w:p>
    <w:p w14:paraId="38667188" w14:textId="164973CD" w:rsidR="00BB59F7" w:rsidRPr="00BF07F5" w:rsidRDefault="00BB59F7" w:rsidP="0079665F">
      <w:pPr>
        <w:tabs>
          <w:tab w:val="left" w:pos="361"/>
        </w:tabs>
        <w:spacing w:line="237" w:lineRule="auto"/>
        <w:ind w:right="60"/>
        <w:jc w:val="both"/>
        <w:rPr>
          <w:rFonts w:eastAsia="Symbol"/>
          <w:sz w:val="20"/>
          <w:szCs w:val="20"/>
        </w:rPr>
      </w:pPr>
      <w:r w:rsidRPr="00BF07F5">
        <w:rPr>
          <w:rFonts w:eastAsia="Arial"/>
          <w:b/>
          <w:bCs/>
          <w:sz w:val="20"/>
          <w:szCs w:val="20"/>
        </w:rPr>
        <w:t xml:space="preserve">Capacity development and institutionalization </w:t>
      </w:r>
      <w:r w:rsidRPr="00BF07F5">
        <w:rPr>
          <w:rFonts w:eastAsia="Arial"/>
          <w:sz w:val="20"/>
          <w:szCs w:val="20"/>
        </w:rPr>
        <w:t>- Empowering and legitimizing community,</w:t>
      </w:r>
      <w:r w:rsidRPr="00BF07F5">
        <w:rPr>
          <w:rFonts w:eastAsia="Arial"/>
          <w:b/>
          <w:bCs/>
          <w:sz w:val="20"/>
          <w:szCs w:val="20"/>
        </w:rPr>
        <w:t xml:space="preserve"> </w:t>
      </w:r>
      <w:r w:rsidRPr="00BF07F5">
        <w:rPr>
          <w:rFonts w:eastAsia="Arial"/>
          <w:sz w:val="20"/>
          <w:szCs w:val="20"/>
        </w:rPr>
        <w:t xml:space="preserve">local and </w:t>
      </w:r>
      <w:r w:rsidR="00602561">
        <w:rPr>
          <w:rFonts w:eastAsia="Arial"/>
          <w:sz w:val="20"/>
          <w:szCs w:val="20"/>
          <w:lang w:val="en-US"/>
        </w:rPr>
        <w:t>State</w:t>
      </w:r>
      <w:r w:rsidRPr="00BF07F5">
        <w:rPr>
          <w:rFonts w:eastAsia="Arial"/>
          <w:sz w:val="20"/>
          <w:szCs w:val="20"/>
        </w:rPr>
        <w:t xml:space="preserve"> institutions is essential. System-wide training and capacity building support, from </w:t>
      </w:r>
      <w:r w:rsidR="00602561">
        <w:rPr>
          <w:rFonts w:eastAsia="Arial"/>
          <w:sz w:val="20"/>
          <w:szCs w:val="20"/>
          <w:lang w:val="en-US"/>
        </w:rPr>
        <w:t xml:space="preserve">Community, Local government and </w:t>
      </w:r>
      <w:r w:rsidR="00056EDD">
        <w:rPr>
          <w:rFonts w:eastAsia="Arial"/>
          <w:sz w:val="20"/>
          <w:szCs w:val="20"/>
          <w:lang w:val="en-US"/>
        </w:rPr>
        <w:t xml:space="preserve"> state </w:t>
      </w:r>
      <w:r w:rsidRPr="00BF07F5">
        <w:rPr>
          <w:rFonts w:eastAsia="Arial"/>
          <w:sz w:val="20"/>
          <w:szCs w:val="20"/>
        </w:rPr>
        <w:t>level</w:t>
      </w:r>
      <w:r w:rsidR="00056EDD">
        <w:rPr>
          <w:rFonts w:eastAsia="Arial"/>
          <w:sz w:val="20"/>
          <w:szCs w:val="20"/>
          <w:lang w:val="en-US"/>
        </w:rPr>
        <w:t xml:space="preserve"> such as </w:t>
      </w:r>
      <w:r w:rsidRPr="00BF07F5">
        <w:rPr>
          <w:rFonts w:eastAsia="Arial"/>
          <w:sz w:val="20"/>
          <w:szCs w:val="20"/>
        </w:rPr>
        <w:t xml:space="preserve"> ministries, will strengthen the ability of institutions to provide quality, relevant and conflict sensitive education. It will also strengthen the visibility and legitimacy of local and </w:t>
      </w:r>
      <w:r w:rsidR="002C5B51">
        <w:rPr>
          <w:rFonts w:eastAsia="Arial"/>
          <w:sz w:val="20"/>
          <w:szCs w:val="20"/>
          <w:lang w:val="en-US"/>
        </w:rPr>
        <w:t>state in</w:t>
      </w:r>
      <w:r w:rsidRPr="00BF07F5">
        <w:rPr>
          <w:rFonts w:eastAsia="Arial"/>
          <w:sz w:val="20"/>
          <w:szCs w:val="20"/>
        </w:rPr>
        <w:t xml:space="preserve"> institutions in restoring quality, relevant education to citizens thus restoring confidence in government. In addition to institution building, capacity development will empower and give voice to marginalized </w:t>
      </w:r>
      <w:r w:rsidR="002C5B51">
        <w:rPr>
          <w:rFonts w:eastAsia="Arial"/>
          <w:sz w:val="20"/>
          <w:szCs w:val="20"/>
          <w:lang w:val="en-US"/>
        </w:rPr>
        <w:t>people in the community</w:t>
      </w:r>
      <w:r w:rsidRPr="00BF07F5">
        <w:rPr>
          <w:rFonts w:eastAsia="Arial"/>
          <w:sz w:val="20"/>
          <w:szCs w:val="20"/>
        </w:rPr>
        <w:t>.</w:t>
      </w:r>
    </w:p>
    <w:p w14:paraId="640A4E80" w14:textId="77777777" w:rsidR="00E0228A" w:rsidRPr="00BF07F5" w:rsidRDefault="00E0228A" w:rsidP="00483B8B">
      <w:pPr>
        <w:tabs>
          <w:tab w:val="left" w:pos="361"/>
        </w:tabs>
        <w:spacing w:line="236" w:lineRule="auto"/>
        <w:ind w:right="160"/>
        <w:jc w:val="both"/>
        <w:rPr>
          <w:rFonts w:eastAsia="Arial"/>
          <w:b/>
          <w:bCs/>
          <w:sz w:val="20"/>
          <w:szCs w:val="20"/>
        </w:rPr>
      </w:pPr>
    </w:p>
    <w:p w14:paraId="638A2363" w14:textId="6F7754DE" w:rsidR="00483B8B" w:rsidRPr="0034029A" w:rsidRDefault="00483B8B" w:rsidP="00483B8B">
      <w:pPr>
        <w:tabs>
          <w:tab w:val="left" w:pos="361"/>
        </w:tabs>
        <w:spacing w:line="236" w:lineRule="auto"/>
        <w:ind w:right="160"/>
        <w:jc w:val="both"/>
        <w:rPr>
          <w:rFonts w:eastAsia="Symbol"/>
          <w:sz w:val="20"/>
          <w:szCs w:val="20"/>
          <w:lang w:val="en-US"/>
        </w:rPr>
      </w:pPr>
      <w:r w:rsidRPr="00BF07F5">
        <w:rPr>
          <w:rFonts w:eastAsia="Arial"/>
          <w:b/>
          <w:bCs/>
          <w:sz w:val="20"/>
          <w:szCs w:val="20"/>
        </w:rPr>
        <w:t xml:space="preserve">Participation </w:t>
      </w:r>
      <w:r w:rsidRPr="00BF07F5">
        <w:rPr>
          <w:rFonts w:eastAsia="Arial"/>
          <w:sz w:val="20"/>
          <w:szCs w:val="20"/>
        </w:rPr>
        <w:t xml:space="preserve">- Community (including </w:t>
      </w:r>
      <w:r w:rsidR="002C5B51">
        <w:rPr>
          <w:rFonts w:eastAsia="Arial"/>
          <w:sz w:val="20"/>
          <w:szCs w:val="20"/>
          <w:lang w:val="en-US"/>
        </w:rPr>
        <w:t xml:space="preserve">women, </w:t>
      </w:r>
      <w:r w:rsidRPr="00BF07F5">
        <w:rPr>
          <w:rFonts w:eastAsia="Arial"/>
          <w:sz w:val="20"/>
          <w:szCs w:val="20"/>
        </w:rPr>
        <w:t>children and youth</w:t>
      </w:r>
      <w:r w:rsidR="002C5B51">
        <w:rPr>
          <w:rFonts w:eastAsia="Arial"/>
          <w:sz w:val="20"/>
          <w:szCs w:val="20"/>
          <w:lang w:val="en-US"/>
        </w:rPr>
        <w:t>s</w:t>
      </w:r>
      <w:r w:rsidRPr="00BF07F5">
        <w:rPr>
          <w:rFonts w:eastAsia="Arial"/>
          <w:sz w:val="20"/>
          <w:szCs w:val="20"/>
        </w:rPr>
        <w:t xml:space="preserve">) and other </w:t>
      </w:r>
      <w:r w:rsidR="002C5B51">
        <w:rPr>
          <w:rFonts w:eastAsia="Arial"/>
          <w:sz w:val="20"/>
          <w:szCs w:val="20"/>
          <w:lang w:val="en-US"/>
        </w:rPr>
        <w:t>government</w:t>
      </w:r>
      <w:r w:rsidRPr="00BF07F5">
        <w:rPr>
          <w:rFonts w:eastAsia="Arial"/>
          <w:sz w:val="20"/>
          <w:szCs w:val="20"/>
        </w:rPr>
        <w:t xml:space="preserve"> stakeholders</w:t>
      </w:r>
      <w:r w:rsidRPr="00BF07F5">
        <w:rPr>
          <w:rFonts w:eastAsia="Arial"/>
          <w:b/>
          <w:bCs/>
          <w:sz w:val="20"/>
          <w:szCs w:val="20"/>
        </w:rPr>
        <w:t xml:space="preserve"> </w:t>
      </w:r>
      <w:r w:rsidRPr="00BF07F5">
        <w:rPr>
          <w:rFonts w:eastAsia="Arial"/>
          <w:sz w:val="20"/>
          <w:szCs w:val="20"/>
        </w:rPr>
        <w:t>will actively participate in</w:t>
      </w:r>
      <w:r w:rsidR="002C5B51">
        <w:rPr>
          <w:rFonts w:eastAsia="Arial"/>
          <w:sz w:val="20"/>
          <w:szCs w:val="20"/>
          <w:lang w:val="en-US"/>
        </w:rPr>
        <w:t xml:space="preserve"> community </w:t>
      </w:r>
      <w:r w:rsidRPr="00BF07F5">
        <w:rPr>
          <w:rFonts w:eastAsia="Arial"/>
          <w:sz w:val="20"/>
          <w:szCs w:val="20"/>
        </w:rPr>
        <w:t>assessment and planning to implementation, monitoring and evaluation</w:t>
      </w:r>
      <w:r w:rsidR="002C5B51">
        <w:rPr>
          <w:rFonts w:eastAsia="Arial"/>
          <w:sz w:val="20"/>
          <w:szCs w:val="20"/>
          <w:lang w:val="en-US"/>
        </w:rPr>
        <w:t xml:space="preserve"> of the project</w:t>
      </w:r>
      <w:r w:rsidRPr="00BF07F5">
        <w:rPr>
          <w:rFonts w:eastAsia="Arial"/>
          <w:sz w:val="20"/>
          <w:szCs w:val="20"/>
        </w:rPr>
        <w:t xml:space="preserve">. This strengthens both ownership and commitment to </w:t>
      </w:r>
      <w:r w:rsidR="002C5B51">
        <w:rPr>
          <w:rFonts w:eastAsia="Arial"/>
          <w:sz w:val="20"/>
          <w:szCs w:val="20"/>
          <w:lang w:val="en-US"/>
        </w:rPr>
        <w:t>improving the conflict r</w:t>
      </w:r>
      <w:r w:rsidR="004C67F0">
        <w:rPr>
          <w:rFonts w:eastAsia="Arial"/>
          <w:sz w:val="20"/>
          <w:szCs w:val="20"/>
          <w:lang w:val="en-US"/>
        </w:rPr>
        <w:t xml:space="preserve">esolution process. </w:t>
      </w:r>
      <w:r w:rsidRPr="00BF07F5">
        <w:rPr>
          <w:rFonts w:eastAsia="Arial"/>
          <w:sz w:val="20"/>
          <w:szCs w:val="20"/>
        </w:rPr>
        <w:t xml:space="preserve"> </w:t>
      </w:r>
      <w:r w:rsidR="004C67F0">
        <w:rPr>
          <w:rFonts w:eastAsia="Arial"/>
          <w:sz w:val="20"/>
          <w:szCs w:val="20"/>
          <w:lang w:val="en-US"/>
        </w:rPr>
        <w:t xml:space="preserve">The training will be designed to </w:t>
      </w:r>
      <w:r w:rsidR="00BA085E">
        <w:rPr>
          <w:rFonts w:eastAsia="Arial"/>
          <w:sz w:val="20"/>
          <w:szCs w:val="20"/>
          <w:lang w:val="en-US"/>
        </w:rPr>
        <w:t>ensure</w:t>
      </w:r>
      <w:r w:rsidRPr="00BF07F5">
        <w:rPr>
          <w:rFonts w:eastAsia="Arial"/>
          <w:sz w:val="20"/>
          <w:szCs w:val="20"/>
        </w:rPr>
        <w:t xml:space="preserve"> inclusive, </w:t>
      </w:r>
      <w:r w:rsidR="00BA085E" w:rsidRPr="00BF07F5">
        <w:rPr>
          <w:rFonts w:eastAsia="Arial"/>
          <w:sz w:val="20"/>
          <w:szCs w:val="20"/>
        </w:rPr>
        <w:t>equity</w:t>
      </w:r>
      <w:r w:rsidR="00BA085E">
        <w:rPr>
          <w:rFonts w:eastAsia="Arial"/>
          <w:sz w:val="20"/>
          <w:szCs w:val="20"/>
          <w:lang w:val="en-US"/>
        </w:rPr>
        <w:t xml:space="preserve">y and </w:t>
      </w:r>
      <w:r w:rsidRPr="00BF07F5">
        <w:rPr>
          <w:rFonts w:eastAsia="Arial"/>
          <w:sz w:val="20"/>
          <w:szCs w:val="20"/>
        </w:rPr>
        <w:t>reflect</w:t>
      </w:r>
      <w:r w:rsidR="00BA085E">
        <w:rPr>
          <w:rFonts w:eastAsia="Arial"/>
          <w:sz w:val="20"/>
          <w:szCs w:val="20"/>
          <w:lang w:val="en-US"/>
        </w:rPr>
        <w:t>ion on</w:t>
      </w:r>
      <w:r w:rsidRPr="00BF07F5">
        <w:rPr>
          <w:rFonts w:eastAsia="Arial"/>
          <w:sz w:val="20"/>
          <w:szCs w:val="20"/>
        </w:rPr>
        <w:t xml:space="preserve"> the needs and aspirations of people, particularly marginalized </w:t>
      </w:r>
      <w:r w:rsidR="0034029A">
        <w:rPr>
          <w:rFonts w:eastAsia="Arial"/>
          <w:sz w:val="20"/>
          <w:szCs w:val="20"/>
          <w:lang w:val="en-US"/>
        </w:rPr>
        <w:t xml:space="preserve">members of the community. </w:t>
      </w:r>
      <w:r w:rsidRPr="00BF07F5">
        <w:rPr>
          <w:rFonts w:eastAsia="Arial"/>
          <w:sz w:val="20"/>
          <w:szCs w:val="20"/>
        </w:rPr>
        <w:t xml:space="preserve"> Strengthening community and stakeholder participation in turn strengthens the accountability of governments to its citizens</w:t>
      </w:r>
      <w:r w:rsidR="0034029A">
        <w:rPr>
          <w:rFonts w:eastAsia="Arial"/>
          <w:sz w:val="20"/>
          <w:szCs w:val="20"/>
          <w:lang w:val="en-US"/>
        </w:rPr>
        <w:t xml:space="preserve"> through the training and meetings session. </w:t>
      </w:r>
    </w:p>
    <w:p w14:paraId="5F32BC16" w14:textId="77777777" w:rsidR="00BB59F7" w:rsidRPr="00BF07F5" w:rsidRDefault="00BB59F7" w:rsidP="0079665F">
      <w:pPr>
        <w:spacing w:line="237" w:lineRule="auto"/>
        <w:ind w:left="100"/>
        <w:jc w:val="both"/>
        <w:rPr>
          <w:sz w:val="18"/>
          <w:szCs w:val="18"/>
          <w:lang w:val="en-US"/>
        </w:rPr>
      </w:pPr>
    </w:p>
    <w:p w14:paraId="7EA8E451" w14:textId="77777777" w:rsidR="0034029A" w:rsidRDefault="00F70CAC" w:rsidP="0079665F">
      <w:pPr>
        <w:jc w:val="both"/>
        <w:rPr>
          <w:rFonts w:eastAsia="Arial"/>
          <w:sz w:val="20"/>
          <w:szCs w:val="20"/>
          <w:lang w:val="en-US"/>
        </w:rPr>
      </w:pPr>
      <w:r w:rsidRPr="00BF07F5">
        <w:rPr>
          <w:rFonts w:eastAsia="Arial"/>
          <w:b/>
          <w:bCs/>
          <w:sz w:val="20"/>
          <w:szCs w:val="20"/>
        </w:rPr>
        <w:t xml:space="preserve">Sustainability </w:t>
      </w:r>
      <w:r w:rsidRPr="00BF07F5">
        <w:rPr>
          <w:rFonts w:eastAsia="Arial"/>
          <w:sz w:val="20"/>
          <w:szCs w:val="20"/>
        </w:rPr>
        <w:t>—The sustainability of the pro</w:t>
      </w:r>
      <w:proofErr w:type="spellStart"/>
      <w:r w:rsidR="0034029A">
        <w:rPr>
          <w:rFonts w:eastAsia="Arial"/>
          <w:sz w:val="20"/>
          <w:szCs w:val="20"/>
          <w:lang w:val="en-US"/>
        </w:rPr>
        <w:t>ject</w:t>
      </w:r>
      <w:proofErr w:type="spellEnd"/>
      <w:r w:rsidR="0034029A">
        <w:rPr>
          <w:rFonts w:eastAsia="Arial"/>
          <w:sz w:val="20"/>
          <w:szCs w:val="20"/>
          <w:lang w:val="en-US"/>
        </w:rPr>
        <w:t xml:space="preserve"> </w:t>
      </w:r>
      <w:r w:rsidRPr="00BF07F5">
        <w:rPr>
          <w:rFonts w:eastAsia="Arial"/>
          <w:sz w:val="20"/>
          <w:szCs w:val="20"/>
        </w:rPr>
        <w:t xml:space="preserve">will be promoted in three ways: </w:t>
      </w:r>
    </w:p>
    <w:p w14:paraId="452DD4FB" w14:textId="54774542" w:rsidR="0034029A" w:rsidRDefault="00F70CAC" w:rsidP="0079665F">
      <w:pPr>
        <w:jc w:val="both"/>
        <w:rPr>
          <w:rFonts w:eastAsia="Arial"/>
          <w:sz w:val="20"/>
          <w:szCs w:val="20"/>
          <w:lang w:val="en-US"/>
        </w:rPr>
      </w:pPr>
      <w:r w:rsidRPr="00BF07F5">
        <w:rPr>
          <w:rFonts w:eastAsia="Arial"/>
          <w:sz w:val="20"/>
          <w:szCs w:val="20"/>
        </w:rPr>
        <w:t>1) the</w:t>
      </w:r>
      <w:r w:rsidRPr="00BF07F5">
        <w:rPr>
          <w:rFonts w:eastAsia="Arial"/>
          <w:b/>
          <w:bCs/>
          <w:sz w:val="20"/>
          <w:szCs w:val="20"/>
        </w:rPr>
        <w:t xml:space="preserve"> </w:t>
      </w:r>
      <w:r w:rsidRPr="00BF07F5">
        <w:rPr>
          <w:rFonts w:eastAsia="Arial"/>
          <w:sz w:val="20"/>
          <w:szCs w:val="20"/>
        </w:rPr>
        <w:t>pro</w:t>
      </w:r>
      <w:proofErr w:type="spellStart"/>
      <w:r w:rsidR="0034029A">
        <w:rPr>
          <w:rFonts w:eastAsia="Arial"/>
          <w:sz w:val="20"/>
          <w:szCs w:val="20"/>
          <w:lang w:val="en-US"/>
        </w:rPr>
        <w:t>ject</w:t>
      </w:r>
      <w:proofErr w:type="spellEnd"/>
      <w:r w:rsidRPr="00BF07F5">
        <w:rPr>
          <w:rFonts w:eastAsia="Arial"/>
          <w:sz w:val="20"/>
          <w:szCs w:val="20"/>
        </w:rPr>
        <w:t xml:space="preserve">’s outcomes two and three </w:t>
      </w:r>
      <w:r w:rsidR="0034029A">
        <w:rPr>
          <w:rFonts w:eastAsia="Arial"/>
          <w:sz w:val="20"/>
          <w:szCs w:val="20"/>
          <w:lang w:val="en-US"/>
        </w:rPr>
        <w:t>will be</w:t>
      </w:r>
      <w:r w:rsidRPr="00BF07F5">
        <w:rPr>
          <w:rFonts w:eastAsia="Arial"/>
          <w:sz w:val="20"/>
          <w:szCs w:val="20"/>
        </w:rPr>
        <w:t xml:space="preserve"> dedicated to capacity building at the institutional and individual level, so progress at the </w:t>
      </w:r>
      <w:r w:rsidR="0034029A">
        <w:rPr>
          <w:rFonts w:eastAsia="Arial"/>
          <w:sz w:val="20"/>
          <w:szCs w:val="20"/>
          <w:lang w:val="en-US"/>
        </w:rPr>
        <w:t xml:space="preserve">State </w:t>
      </w:r>
      <w:r w:rsidRPr="00BF07F5">
        <w:rPr>
          <w:rFonts w:eastAsia="Arial"/>
          <w:sz w:val="20"/>
          <w:szCs w:val="20"/>
        </w:rPr>
        <w:t>level can be sustained beyond life of this pro</w:t>
      </w:r>
      <w:proofErr w:type="spellStart"/>
      <w:r w:rsidR="0034029A">
        <w:rPr>
          <w:rFonts w:eastAsia="Arial"/>
          <w:sz w:val="20"/>
          <w:szCs w:val="20"/>
          <w:lang w:val="en-US"/>
        </w:rPr>
        <w:t>ject</w:t>
      </w:r>
      <w:proofErr w:type="spellEnd"/>
      <w:r w:rsidR="0034029A">
        <w:rPr>
          <w:rFonts w:eastAsia="Arial"/>
          <w:sz w:val="20"/>
          <w:szCs w:val="20"/>
          <w:lang w:val="en-US"/>
        </w:rPr>
        <w:t>.</w:t>
      </w:r>
    </w:p>
    <w:p w14:paraId="672712AE" w14:textId="77777777" w:rsidR="00687134" w:rsidRDefault="00F70CAC" w:rsidP="0079665F">
      <w:pPr>
        <w:jc w:val="both"/>
        <w:rPr>
          <w:rFonts w:eastAsia="Arial"/>
          <w:sz w:val="20"/>
          <w:szCs w:val="20"/>
        </w:rPr>
      </w:pPr>
      <w:r w:rsidRPr="00BF07F5">
        <w:rPr>
          <w:rFonts w:eastAsia="Arial"/>
          <w:sz w:val="20"/>
          <w:szCs w:val="20"/>
        </w:rPr>
        <w:t>2) to achieve the outcomes of the pro</w:t>
      </w:r>
      <w:proofErr w:type="spellStart"/>
      <w:r w:rsidR="0034029A">
        <w:rPr>
          <w:rFonts w:eastAsia="Arial"/>
          <w:sz w:val="20"/>
          <w:szCs w:val="20"/>
          <w:lang w:val="en-US"/>
        </w:rPr>
        <w:t>ject</w:t>
      </w:r>
      <w:proofErr w:type="spellEnd"/>
      <w:r w:rsidRPr="00BF07F5">
        <w:rPr>
          <w:rFonts w:eastAsia="Arial"/>
          <w:sz w:val="20"/>
          <w:szCs w:val="20"/>
        </w:rPr>
        <w:t xml:space="preserve">, an implicit intermediate milestone </w:t>
      </w:r>
      <w:r w:rsidR="00687134">
        <w:rPr>
          <w:rFonts w:eastAsia="Arial"/>
          <w:sz w:val="20"/>
          <w:szCs w:val="20"/>
          <w:lang w:val="en-US"/>
        </w:rPr>
        <w:t>will be set by the project team</w:t>
      </w:r>
      <w:r w:rsidRPr="00BF07F5">
        <w:rPr>
          <w:rFonts w:eastAsia="Arial"/>
          <w:sz w:val="20"/>
          <w:szCs w:val="20"/>
        </w:rPr>
        <w:t>, which will lead to sustained agency expertise in peacebuilding efforts</w:t>
      </w:r>
      <w:r w:rsidR="00687134">
        <w:rPr>
          <w:rFonts w:eastAsia="Arial"/>
          <w:sz w:val="20"/>
          <w:szCs w:val="20"/>
          <w:lang w:val="en-US"/>
        </w:rPr>
        <w:t xml:space="preserve"> for the community and state level</w:t>
      </w:r>
      <w:r w:rsidRPr="00BF07F5">
        <w:rPr>
          <w:rFonts w:eastAsia="Arial"/>
          <w:sz w:val="20"/>
          <w:szCs w:val="20"/>
        </w:rPr>
        <w:t xml:space="preserve">. </w:t>
      </w:r>
    </w:p>
    <w:p w14:paraId="56385AF5" w14:textId="4C509F04" w:rsidR="0034029A" w:rsidRDefault="004A77BD" w:rsidP="0079665F">
      <w:pPr>
        <w:jc w:val="both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3) </w:t>
      </w:r>
      <w:r w:rsidR="00F70CAC" w:rsidRPr="00BF07F5">
        <w:rPr>
          <w:rFonts w:eastAsia="Arial"/>
          <w:sz w:val="20"/>
          <w:szCs w:val="20"/>
        </w:rPr>
        <w:t xml:space="preserve">The </w:t>
      </w:r>
      <w:r w:rsidR="0034029A">
        <w:rPr>
          <w:rFonts w:eastAsia="Arial"/>
          <w:sz w:val="20"/>
          <w:szCs w:val="20"/>
          <w:lang w:val="en-US"/>
        </w:rPr>
        <w:t>project</w:t>
      </w:r>
      <w:r w:rsidR="00F70CAC" w:rsidRPr="00BF07F5">
        <w:rPr>
          <w:rFonts w:eastAsia="Arial"/>
          <w:sz w:val="20"/>
          <w:szCs w:val="20"/>
        </w:rPr>
        <w:t xml:space="preserve"> life cycle will allow for the attainment of results which will hopefully attract support for continuation of the </w:t>
      </w:r>
      <w:proofErr w:type="spellStart"/>
      <w:r w:rsidR="00F70CAC" w:rsidRPr="00BF07F5">
        <w:rPr>
          <w:rFonts w:eastAsia="Arial"/>
          <w:sz w:val="20"/>
          <w:szCs w:val="20"/>
        </w:rPr>
        <w:t>programm</w:t>
      </w:r>
      <w:proofErr w:type="spellEnd"/>
      <w:r w:rsidR="0034029A">
        <w:rPr>
          <w:rFonts w:eastAsia="Arial"/>
          <w:sz w:val="20"/>
          <w:szCs w:val="20"/>
          <w:lang w:val="en-US"/>
        </w:rPr>
        <w:t>e</w:t>
      </w:r>
      <w:r>
        <w:rPr>
          <w:rFonts w:eastAsia="Arial"/>
          <w:sz w:val="20"/>
          <w:szCs w:val="20"/>
          <w:lang w:val="en-US"/>
        </w:rPr>
        <w:t xml:space="preserve">, the stakeholders will be trained to identify </w:t>
      </w:r>
      <w:r w:rsidR="006A6D0A">
        <w:rPr>
          <w:rFonts w:eastAsia="Arial"/>
          <w:sz w:val="20"/>
          <w:szCs w:val="20"/>
          <w:lang w:val="en-US"/>
        </w:rPr>
        <w:t>sustainable elements in the project t</w:t>
      </w:r>
      <w:r w:rsidR="002401CF">
        <w:rPr>
          <w:rFonts w:eastAsia="Arial"/>
          <w:sz w:val="20"/>
          <w:szCs w:val="20"/>
          <w:lang w:val="en-US"/>
        </w:rPr>
        <w:t xml:space="preserve">hat will guide them in sustaining the project through their early involvement. </w:t>
      </w:r>
    </w:p>
    <w:p w14:paraId="24C4CF93" w14:textId="77777777" w:rsidR="0034029A" w:rsidRDefault="0034029A" w:rsidP="0034029A">
      <w:pPr>
        <w:pStyle w:val="Heading1"/>
        <w:rPr>
          <w:rFonts w:eastAsia="Arial"/>
          <w:b/>
          <w:bCs/>
          <w:lang w:val="en-US"/>
        </w:rPr>
      </w:pPr>
      <w:r w:rsidRPr="0034029A">
        <w:rPr>
          <w:rFonts w:eastAsia="Arial"/>
          <w:b/>
          <w:bCs/>
          <w:lang w:val="en-US"/>
        </w:rPr>
        <w:t>Monitor</w:t>
      </w:r>
      <w:r>
        <w:rPr>
          <w:rFonts w:eastAsia="Arial"/>
          <w:b/>
          <w:bCs/>
          <w:lang w:val="en-US"/>
        </w:rPr>
        <w:t>i</w:t>
      </w:r>
      <w:r w:rsidRPr="0034029A">
        <w:rPr>
          <w:rFonts w:eastAsia="Arial"/>
          <w:b/>
          <w:bCs/>
          <w:lang w:val="en-US"/>
        </w:rPr>
        <w:t xml:space="preserve">ng of </w:t>
      </w:r>
      <w:r>
        <w:rPr>
          <w:rFonts w:eastAsia="Arial"/>
          <w:b/>
          <w:bCs/>
          <w:lang w:val="en-US"/>
        </w:rPr>
        <w:t xml:space="preserve">the Project </w:t>
      </w:r>
    </w:p>
    <w:p w14:paraId="7B557F12" w14:textId="4CD63E12" w:rsidR="00A967CC" w:rsidRDefault="00A967CC" w:rsidP="00A967CC">
      <w:pPr>
        <w:rPr>
          <w:lang w:val="en-US"/>
        </w:rPr>
      </w:pPr>
      <w:r>
        <w:rPr>
          <w:lang w:val="en-US"/>
        </w:rPr>
        <w:t xml:space="preserve">A Monitoring plan is </w:t>
      </w:r>
      <w:r w:rsidR="002F7CCB">
        <w:rPr>
          <w:lang w:val="en-US"/>
        </w:rPr>
        <w:t>developed using</w:t>
      </w:r>
      <w:r>
        <w:rPr>
          <w:lang w:val="en-US"/>
        </w:rPr>
        <w:t xml:space="preserve"> the indicators from the project </w:t>
      </w:r>
      <w:proofErr w:type="spellStart"/>
      <w:r>
        <w:rPr>
          <w:lang w:val="en-US"/>
        </w:rPr>
        <w:t>logframe</w:t>
      </w:r>
      <w:proofErr w:type="spellEnd"/>
      <w:r>
        <w:rPr>
          <w:lang w:val="en-US"/>
        </w:rPr>
        <w:t>. A monitoring reports is</w:t>
      </w:r>
      <w:r w:rsidR="002F7CCB">
        <w:rPr>
          <w:lang w:val="en-US"/>
        </w:rPr>
        <w:t xml:space="preserve"> developed and disseminated  </w:t>
      </w:r>
      <w:r w:rsidR="000942C5">
        <w:rPr>
          <w:lang w:val="en-US"/>
        </w:rPr>
        <w:t xml:space="preserve"> to all stakeholders, feedback is used to review </w:t>
      </w:r>
      <w:r w:rsidR="009B3276">
        <w:rPr>
          <w:lang w:val="en-US"/>
        </w:rPr>
        <w:t>activities and</w:t>
      </w:r>
      <w:r w:rsidR="000942C5">
        <w:rPr>
          <w:lang w:val="en-US"/>
        </w:rPr>
        <w:t xml:space="preserve"> </w:t>
      </w:r>
      <w:r w:rsidR="00F4507C">
        <w:rPr>
          <w:lang w:val="en-US"/>
        </w:rPr>
        <w:t>implementation for greater results.</w:t>
      </w:r>
    </w:p>
    <w:p w14:paraId="7AF8C2A9" w14:textId="77777777" w:rsidR="00F4507C" w:rsidRDefault="00F4507C" w:rsidP="00A967CC">
      <w:pPr>
        <w:rPr>
          <w:lang w:val="en-US"/>
        </w:rPr>
      </w:pPr>
    </w:p>
    <w:p w14:paraId="011D0E22" w14:textId="14946C68" w:rsidR="00F4507C" w:rsidRDefault="00732900" w:rsidP="009B3276">
      <w:pPr>
        <w:jc w:val="center"/>
        <w:rPr>
          <w:lang w:val="en-US"/>
        </w:rPr>
      </w:pPr>
      <w:r>
        <w:rPr>
          <w:lang w:val="en-US"/>
        </w:rPr>
        <w:t>An example of Monitoring Plan.</w:t>
      </w:r>
    </w:p>
    <w:tbl>
      <w:tblPr>
        <w:tblStyle w:val="GridTable4-Accent5"/>
        <w:tblW w:w="6515" w:type="dxa"/>
        <w:jc w:val="center"/>
        <w:tblLook w:val="04A0" w:firstRow="1" w:lastRow="0" w:firstColumn="1" w:lastColumn="0" w:noHBand="0" w:noVBand="1"/>
      </w:tblPr>
      <w:tblGrid>
        <w:gridCol w:w="2811"/>
        <w:gridCol w:w="572"/>
        <w:gridCol w:w="424"/>
        <w:gridCol w:w="430"/>
        <w:gridCol w:w="430"/>
        <w:gridCol w:w="564"/>
        <w:gridCol w:w="430"/>
        <w:gridCol w:w="430"/>
        <w:gridCol w:w="424"/>
      </w:tblGrid>
      <w:tr w:rsidR="00B44BC6" w14:paraId="0BDD1197" w14:textId="23723B44" w:rsidTr="00B44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34EA6FDD" w14:textId="77777777" w:rsidR="00B44BC6" w:rsidRDefault="00B44BC6" w:rsidP="00B44BC6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14:paraId="20D24DE6" w14:textId="1B2D55CB" w:rsidR="00B44BC6" w:rsidRDefault="00B44BC6" w:rsidP="00B44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24" w:type="dxa"/>
          </w:tcPr>
          <w:p w14:paraId="3F033783" w14:textId="77777777" w:rsidR="00B44BC6" w:rsidRDefault="00B44BC6" w:rsidP="00B44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30" w:type="dxa"/>
          </w:tcPr>
          <w:p w14:paraId="797576F3" w14:textId="77777777" w:rsidR="00B44BC6" w:rsidRDefault="00B44BC6" w:rsidP="00B44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30" w:type="dxa"/>
          </w:tcPr>
          <w:p w14:paraId="2A614ABB" w14:textId="77777777" w:rsidR="00B44BC6" w:rsidRDefault="00B44BC6" w:rsidP="00B44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4" w:type="dxa"/>
          </w:tcPr>
          <w:p w14:paraId="717CA48C" w14:textId="3541173A" w:rsidR="00B44BC6" w:rsidRDefault="00B44BC6" w:rsidP="00B44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eastAsia="Arial" w:hAnsi="Arial" w:cs="Arial"/>
                <w:b w:val="0"/>
                <w:bCs w:val="0"/>
                <w:w w:val="89"/>
                <w:sz w:val="16"/>
                <w:szCs w:val="16"/>
                <w:lang w:val="en-US"/>
              </w:rPr>
              <w:t>2021</w:t>
            </w:r>
          </w:p>
        </w:tc>
        <w:tc>
          <w:tcPr>
            <w:tcW w:w="430" w:type="dxa"/>
          </w:tcPr>
          <w:p w14:paraId="55C18D0A" w14:textId="77777777" w:rsidR="00B44BC6" w:rsidRDefault="00B44BC6" w:rsidP="00B44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30" w:type="dxa"/>
          </w:tcPr>
          <w:p w14:paraId="7D4C8DF9" w14:textId="77777777" w:rsidR="00B44BC6" w:rsidRDefault="00B44BC6" w:rsidP="00B44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24" w:type="dxa"/>
          </w:tcPr>
          <w:p w14:paraId="6417BEE6" w14:textId="77777777" w:rsidR="00B44BC6" w:rsidRDefault="00B44BC6" w:rsidP="00B44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4BC6" w14:paraId="2A3A9756" w14:textId="5D7E7D31" w:rsidTr="00B4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3AF8939D" w14:textId="7941401D" w:rsidR="00B44BC6" w:rsidRDefault="00B44BC6" w:rsidP="00B44BC6">
            <w:pPr>
              <w:rPr>
                <w:lang w:val="en-US"/>
              </w:rPr>
            </w:pPr>
          </w:p>
        </w:tc>
        <w:tc>
          <w:tcPr>
            <w:tcW w:w="572" w:type="dxa"/>
          </w:tcPr>
          <w:p w14:paraId="6D43CBFE" w14:textId="1D24D4AE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Q1</w:t>
            </w:r>
          </w:p>
        </w:tc>
        <w:tc>
          <w:tcPr>
            <w:tcW w:w="424" w:type="dxa"/>
          </w:tcPr>
          <w:p w14:paraId="5CF5C6EF" w14:textId="28FFCB10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Q2</w:t>
            </w:r>
          </w:p>
        </w:tc>
        <w:tc>
          <w:tcPr>
            <w:tcW w:w="430" w:type="dxa"/>
          </w:tcPr>
          <w:p w14:paraId="5BDD9BCF" w14:textId="781DF2F6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Q3</w:t>
            </w:r>
          </w:p>
        </w:tc>
        <w:tc>
          <w:tcPr>
            <w:tcW w:w="430" w:type="dxa"/>
          </w:tcPr>
          <w:p w14:paraId="5FAF3DFF" w14:textId="2FFEB284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Q4</w:t>
            </w:r>
          </w:p>
        </w:tc>
        <w:tc>
          <w:tcPr>
            <w:tcW w:w="564" w:type="dxa"/>
          </w:tcPr>
          <w:p w14:paraId="60EA4BC2" w14:textId="59134233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Q1</w:t>
            </w:r>
          </w:p>
        </w:tc>
        <w:tc>
          <w:tcPr>
            <w:tcW w:w="430" w:type="dxa"/>
          </w:tcPr>
          <w:p w14:paraId="17692F70" w14:textId="52DF8CF9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Q2</w:t>
            </w:r>
          </w:p>
        </w:tc>
        <w:tc>
          <w:tcPr>
            <w:tcW w:w="430" w:type="dxa"/>
          </w:tcPr>
          <w:p w14:paraId="394DACFC" w14:textId="652FFC41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Q3</w:t>
            </w:r>
          </w:p>
        </w:tc>
        <w:tc>
          <w:tcPr>
            <w:tcW w:w="424" w:type="dxa"/>
          </w:tcPr>
          <w:p w14:paraId="5D711B0B" w14:textId="7CED349C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Q4</w:t>
            </w:r>
          </w:p>
        </w:tc>
      </w:tr>
      <w:tr w:rsidR="00B44BC6" w14:paraId="74B8F2A0" w14:textId="33CD8966" w:rsidTr="00B44B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50DAC889" w14:textId="5E7ABDFC" w:rsidR="00B44BC6" w:rsidRPr="00B44BC6" w:rsidRDefault="00B44BC6" w:rsidP="00B44BC6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B44BC6">
              <w:rPr>
                <w:rFonts w:eastAsia="Arial"/>
                <w:b w:val="0"/>
                <w:bCs w:val="0"/>
                <w:sz w:val="20"/>
                <w:szCs w:val="20"/>
              </w:rPr>
              <w:t>Conflict Analyses</w:t>
            </w:r>
          </w:p>
        </w:tc>
        <w:tc>
          <w:tcPr>
            <w:tcW w:w="572" w:type="dxa"/>
          </w:tcPr>
          <w:p w14:paraId="744C04E3" w14:textId="33082D33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F6923">
              <w:rPr>
                <w:rFonts w:eastAsia="Arial"/>
                <w:w w:val="85"/>
                <w:sz w:val="18"/>
                <w:szCs w:val="18"/>
              </w:rPr>
              <w:t>X</w:t>
            </w:r>
          </w:p>
        </w:tc>
        <w:tc>
          <w:tcPr>
            <w:tcW w:w="424" w:type="dxa"/>
          </w:tcPr>
          <w:p w14:paraId="23645F7E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5CB03552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6EFA6EBE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187754B4" w14:textId="48575960" w:rsidR="00B44BC6" w:rsidRPr="00CF6923" w:rsidRDefault="00C427F0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CF692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30" w:type="dxa"/>
          </w:tcPr>
          <w:p w14:paraId="34F94399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59A325FD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7017589E" w14:textId="77777777" w:rsidR="00B44BC6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4BC6" w14:paraId="5BE860BE" w14:textId="4B615973" w:rsidTr="00B4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0199EC85" w14:textId="25D75200" w:rsidR="00B44BC6" w:rsidRPr="00B44BC6" w:rsidRDefault="00B44BC6" w:rsidP="00B44BC6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B44BC6">
              <w:rPr>
                <w:rFonts w:eastAsia="Arial"/>
                <w:b w:val="0"/>
                <w:bCs w:val="0"/>
                <w:sz w:val="20"/>
                <w:szCs w:val="20"/>
              </w:rPr>
              <w:t>Programme Design</w:t>
            </w:r>
          </w:p>
        </w:tc>
        <w:tc>
          <w:tcPr>
            <w:tcW w:w="572" w:type="dxa"/>
          </w:tcPr>
          <w:p w14:paraId="09134957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43F149BA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1AA62F9D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747D5D51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0871F0FA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163666BD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401011D0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5B9F8DC6" w14:textId="77777777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4BC6" w14:paraId="12DEE01E" w14:textId="15FDF2F0" w:rsidTr="00B44B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392E79A9" w14:textId="5071A197" w:rsidR="00B44BC6" w:rsidRPr="00B44BC6" w:rsidRDefault="00B44BC6" w:rsidP="00B44BC6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B44BC6">
              <w:rPr>
                <w:rFonts w:eastAsia="Arial"/>
                <w:b w:val="0"/>
                <w:bCs w:val="0"/>
                <w:sz w:val="20"/>
                <w:szCs w:val="20"/>
              </w:rPr>
              <w:t>Roll out</w:t>
            </w:r>
          </w:p>
        </w:tc>
        <w:tc>
          <w:tcPr>
            <w:tcW w:w="572" w:type="dxa"/>
          </w:tcPr>
          <w:p w14:paraId="46FE23BB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1EADA6E2" w14:textId="5BBABFFD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F6923">
              <w:rPr>
                <w:rFonts w:eastAsia="Arial"/>
                <w:w w:val="85"/>
                <w:sz w:val="18"/>
                <w:szCs w:val="18"/>
              </w:rPr>
              <w:t>X</w:t>
            </w:r>
          </w:p>
        </w:tc>
        <w:tc>
          <w:tcPr>
            <w:tcW w:w="430" w:type="dxa"/>
          </w:tcPr>
          <w:p w14:paraId="06E7FFCD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0D4D0AD5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5FA5390F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608AF0AE" w14:textId="736DC70D" w:rsidR="00B44BC6" w:rsidRPr="00CF6923" w:rsidRDefault="00C427F0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CF692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30" w:type="dxa"/>
          </w:tcPr>
          <w:p w14:paraId="4D402332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40F6835D" w14:textId="77777777" w:rsidR="00B44BC6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4BC6" w14:paraId="7D8E47CF" w14:textId="58E77972" w:rsidTr="00B4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050EDD97" w14:textId="325104A9" w:rsidR="00B44BC6" w:rsidRPr="00B44BC6" w:rsidRDefault="00B44BC6" w:rsidP="00B44BC6">
            <w:pPr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B44BC6">
              <w:rPr>
                <w:rFonts w:eastAsia="Arial"/>
                <w:b w:val="0"/>
                <w:bCs w:val="0"/>
                <w:sz w:val="20"/>
                <w:szCs w:val="20"/>
              </w:rPr>
              <w:t>Baseline Study</w:t>
            </w:r>
          </w:p>
        </w:tc>
        <w:tc>
          <w:tcPr>
            <w:tcW w:w="572" w:type="dxa"/>
          </w:tcPr>
          <w:p w14:paraId="2657AD5E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0CA2BBE1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5A0E5A36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73A7C1A6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05BCFD10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3E44F6C0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14:paraId="76BAF678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652C3657" w14:textId="77777777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4BC6" w14:paraId="082834D0" w14:textId="19202CBE" w:rsidTr="00B44B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295F18EE" w14:textId="692C82F6" w:rsidR="00B44BC6" w:rsidRPr="00B44BC6" w:rsidRDefault="00B44BC6" w:rsidP="00B44BC6">
            <w:pPr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B44BC6">
              <w:rPr>
                <w:rFonts w:eastAsia="Arial"/>
                <w:b w:val="0"/>
                <w:bCs w:val="0"/>
                <w:sz w:val="20"/>
                <w:szCs w:val="20"/>
              </w:rPr>
              <w:t>Evaluability Assessment</w:t>
            </w:r>
          </w:p>
        </w:tc>
        <w:tc>
          <w:tcPr>
            <w:tcW w:w="572" w:type="dxa"/>
          </w:tcPr>
          <w:p w14:paraId="404C27D8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44A16AF3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7F90D22D" w14:textId="26642B2C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F6923"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430" w:type="dxa"/>
          </w:tcPr>
          <w:p w14:paraId="71DC09BF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216ED8E7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3483DAC7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416CDB5C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6B50A835" w14:textId="46B6BEB5" w:rsidR="00B44BC6" w:rsidRDefault="00CF6923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B44BC6" w14:paraId="7C7E5798" w14:textId="5E653F34" w:rsidTr="00B4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1126F7E2" w14:textId="6BA900B7" w:rsidR="00B44BC6" w:rsidRPr="00B44BC6" w:rsidRDefault="00B44BC6" w:rsidP="00B44BC6">
            <w:pPr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B44BC6">
              <w:rPr>
                <w:rFonts w:eastAsia="Arial"/>
                <w:b w:val="0"/>
                <w:bCs w:val="0"/>
                <w:sz w:val="20"/>
                <w:szCs w:val="20"/>
              </w:rPr>
              <w:t>Research Strategy</w:t>
            </w:r>
          </w:p>
        </w:tc>
        <w:tc>
          <w:tcPr>
            <w:tcW w:w="572" w:type="dxa"/>
          </w:tcPr>
          <w:p w14:paraId="1F005F9D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6C60BA96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55E3014E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00B5EE13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5E7AEF1F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2D345626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4BD9C599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349E9D54" w14:textId="77777777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4BC6" w14:paraId="0A7CB7CA" w14:textId="50435AFD" w:rsidTr="00B44B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3D3EB3FF" w14:textId="4D8D5528" w:rsidR="00B44BC6" w:rsidRPr="00B44BC6" w:rsidRDefault="00B44BC6" w:rsidP="00B44BC6">
            <w:pPr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B44BC6">
              <w:rPr>
                <w:rFonts w:eastAsia="Arial"/>
                <w:b w:val="0"/>
                <w:bCs w:val="0"/>
                <w:sz w:val="20"/>
                <w:szCs w:val="20"/>
              </w:rPr>
              <w:t>Thematic Studies</w:t>
            </w:r>
          </w:p>
        </w:tc>
        <w:tc>
          <w:tcPr>
            <w:tcW w:w="572" w:type="dxa"/>
          </w:tcPr>
          <w:p w14:paraId="298C1B60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7F02EE44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2E7B8FFB" w14:textId="6BD8FDCA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F6923"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430" w:type="dxa"/>
          </w:tcPr>
          <w:p w14:paraId="554F4B9A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5E142E5B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474349FA" w14:textId="6BBF06EF" w:rsidR="00B44BC6" w:rsidRPr="00CF6923" w:rsidRDefault="00CF6923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30" w:type="dxa"/>
          </w:tcPr>
          <w:p w14:paraId="7B79CB64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52E56F27" w14:textId="77777777" w:rsidR="00B44BC6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4BC6" w14:paraId="5BD53B16" w14:textId="65F41231" w:rsidTr="00B4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20AE4070" w14:textId="4208AFEE" w:rsidR="00B44BC6" w:rsidRPr="00B44BC6" w:rsidRDefault="00B44BC6" w:rsidP="00B44BC6">
            <w:pPr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B44BC6">
              <w:rPr>
                <w:rFonts w:eastAsia="Arial"/>
                <w:b w:val="0"/>
                <w:bCs w:val="0"/>
                <w:sz w:val="20"/>
                <w:szCs w:val="20"/>
              </w:rPr>
              <w:t>Mid-term review</w:t>
            </w:r>
          </w:p>
        </w:tc>
        <w:tc>
          <w:tcPr>
            <w:tcW w:w="572" w:type="dxa"/>
          </w:tcPr>
          <w:p w14:paraId="57EAC6A7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64D3D6D2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2DE5348B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4D1D94CF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02E29AA6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4A5396CA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03CC9DFA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2A93153B" w14:textId="77777777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4BC6" w14:paraId="72D29B29" w14:textId="650C13AF" w:rsidTr="00B44B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284B478B" w14:textId="6252137A" w:rsidR="00B44BC6" w:rsidRPr="00B44BC6" w:rsidRDefault="00B44BC6" w:rsidP="00B44BC6">
            <w:pPr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B44BC6">
              <w:rPr>
                <w:rFonts w:eastAsia="Arial"/>
                <w:b w:val="0"/>
                <w:bCs w:val="0"/>
                <w:sz w:val="20"/>
                <w:szCs w:val="20"/>
              </w:rPr>
              <w:t>Independent Evaluation</w:t>
            </w:r>
          </w:p>
        </w:tc>
        <w:tc>
          <w:tcPr>
            <w:tcW w:w="572" w:type="dxa"/>
          </w:tcPr>
          <w:p w14:paraId="6B047955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25AFA9EA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5F164F8C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75F68A05" w14:textId="7E8D212B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F6923">
              <w:rPr>
                <w:rFonts w:eastAsia="Arial"/>
                <w:sz w:val="18"/>
                <w:szCs w:val="18"/>
              </w:rPr>
              <w:t>X</w:t>
            </w:r>
          </w:p>
        </w:tc>
        <w:tc>
          <w:tcPr>
            <w:tcW w:w="564" w:type="dxa"/>
          </w:tcPr>
          <w:p w14:paraId="0E19CBB2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0EA8121B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60CB5040" w14:textId="77777777" w:rsidR="00B44BC6" w:rsidRPr="00CF6923" w:rsidRDefault="00B44BC6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294ECD70" w14:textId="1A79EF38" w:rsidR="00B44BC6" w:rsidRDefault="00CF6923" w:rsidP="00B44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B44BC6" w14:paraId="3EEDEC15" w14:textId="77777777" w:rsidTr="00B4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0D649FC9" w14:textId="01C21D3F" w:rsidR="00B44BC6" w:rsidRPr="00B44BC6" w:rsidRDefault="00B44BC6" w:rsidP="00B44BC6">
            <w:pPr>
              <w:rPr>
                <w:rFonts w:eastAsia="Arial"/>
                <w:b w:val="0"/>
                <w:bCs w:val="0"/>
                <w:sz w:val="20"/>
                <w:szCs w:val="20"/>
              </w:rPr>
            </w:pPr>
            <w:r w:rsidRPr="00B44BC6">
              <w:rPr>
                <w:rFonts w:eastAsia="Arial"/>
                <w:b w:val="0"/>
                <w:bCs w:val="0"/>
                <w:sz w:val="20"/>
                <w:szCs w:val="20"/>
              </w:rPr>
              <w:t>Annual Report</w:t>
            </w:r>
          </w:p>
        </w:tc>
        <w:tc>
          <w:tcPr>
            <w:tcW w:w="572" w:type="dxa"/>
          </w:tcPr>
          <w:p w14:paraId="68529472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4315BC9F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33F1E61F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6215FC3D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</w:tcPr>
          <w:p w14:paraId="007AAD38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7D53F6E3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</w:tcPr>
          <w:p w14:paraId="19334F7D" w14:textId="77777777" w:rsidR="00B44BC6" w:rsidRPr="00CF6923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607D3883" w14:textId="77777777" w:rsidR="00B44BC6" w:rsidRDefault="00B44BC6" w:rsidP="00B4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FCC4FA9" w14:textId="77777777" w:rsidR="00732900" w:rsidRDefault="00732900" w:rsidP="00A967CC">
      <w:pPr>
        <w:rPr>
          <w:lang w:val="en-US"/>
        </w:rPr>
      </w:pPr>
    </w:p>
    <w:p w14:paraId="4DD88070" w14:textId="77777777" w:rsidR="00732900" w:rsidRDefault="00732900" w:rsidP="009B3276">
      <w:pPr>
        <w:pStyle w:val="Heading1"/>
        <w:spacing w:before="0"/>
        <w:rPr>
          <w:b/>
          <w:bCs/>
          <w:lang w:val="en-US"/>
        </w:rPr>
      </w:pPr>
      <w:r w:rsidRPr="009B3276">
        <w:rPr>
          <w:b/>
          <w:bCs/>
          <w:lang w:val="en-US"/>
        </w:rPr>
        <w:t xml:space="preserve">Evaluation </w:t>
      </w:r>
    </w:p>
    <w:p w14:paraId="685FF720" w14:textId="20CED3FD" w:rsidR="009B3276" w:rsidRDefault="00CF6923" w:rsidP="009B3276">
      <w:pPr>
        <w:rPr>
          <w:lang w:val="en-US"/>
        </w:rPr>
      </w:pPr>
      <w:r>
        <w:rPr>
          <w:lang w:val="en-US"/>
        </w:rPr>
        <w:t xml:space="preserve">As shown in the Monitoring plan, there will be different evaluation, </w:t>
      </w:r>
      <w:r w:rsidR="00BA75ED">
        <w:rPr>
          <w:lang w:val="en-US"/>
        </w:rPr>
        <w:t>the assessment of the communities and the state will be evaluated by the Project team and the project committee. The fina</w:t>
      </w:r>
      <w:r w:rsidR="00847A1F">
        <w:rPr>
          <w:lang w:val="en-US"/>
        </w:rPr>
        <w:t xml:space="preserve">l evaluation will be conducted by external evaluators. The reports from the evaluation will be used in reviewing the intervention for the </w:t>
      </w:r>
      <w:r w:rsidR="00687134">
        <w:rPr>
          <w:lang w:val="en-US"/>
        </w:rPr>
        <w:t xml:space="preserve">second year. </w:t>
      </w:r>
    </w:p>
    <w:p w14:paraId="2746098C" w14:textId="77777777" w:rsidR="009B3276" w:rsidRDefault="009B3276" w:rsidP="009B3276">
      <w:pPr>
        <w:rPr>
          <w:lang w:val="en-US"/>
        </w:rPr>
      </w:pPr>
    </w:p>
    <w:p w14:paraId="3B4433F4" w14:textId="77777777" w:rsidR="009B3276" w:rsidRDefault="009B3276" w:rsidP="009B3276">
      <w:pPr>
        <w:rPr>
          <w:lang w:val="en-US"/>
        </w:rPr>
      </w:pPr>
    </w:p>
    <w:p w14:paraId="3FD3FAEF" w14:textId="77777777" w:rsidR="009B3276" w:rsidRDefault="009B3276" w:rsidP="009B3276">
      <w:pPr>
        <w:rPr>
          <w:lang w:val="en-US"/>
        </w:rPr>
      </w:pPr>
    </w:p>
    <w:p w14:paraId="599B25B6" w14:textId="77777777" w:rsidR="009B3276" w:rsidRDefault="009B3276" w:rsidP="009B3276">
      <w:pPr>
        <w:rPr>
          <w:lang w:val="en-US"/>
        </w:rPr>
      </w:pPr>
    </w:p>
    <w:p w14:paraId="6F0F66B2" w14:textId="77777777" w:rsidR="009B3276" w:rsidRDefault="009B3276" w:rsidP="009B3276">
      <w:pPr>
        <w:rPr>
          <w:lang w:val="en-US"/>
        </w:rPr>
      </w:pPr>
    </w:p>
    <w:p w14:paraId="07D80493" w14:textId="77777777" w:rsidR="009B3276" w:rsidRDefault="009B3276" w:rsidP="009B3276">
      <w:pPr>
        <w:rPr>
          <w:lang w:val="en-US"/>
        </w:rPr>
      </w:pPr>
    </w:p>
    <w:p w14:paraId="3D3C67D1" w14:textId="77777777" w:rsidR="009B3276" w:rsidRDefault="009B3276" w:rsidP="009B3276">
      <w:pPr>
        <w:rPr>
          <w:lang w:val="en-US"/>
        </w:rPr>
      </w:pPr>
    </w:p>
    <w:p w14:paraId="0DE490D1" w14:textId="77777777" w:rsidR="009B3276" w:rsidRDefault="009B3276" w:rsidP="009B3276">
      <w:pPr>
        <w:rPr>
          <w:lang w:val="en-US"/>
        </w:rPr>
      </w:pPr>
    </w:p>
    <w:p w14:paraId="58DBC3C2" w14:textId="516795A4" w:rsidR="009B3276" w:rsidRPr="009B3276" w:rsidRDefault="009B3276" w:rsidP="009B3276">
      <w:pPr>
        <w:rPr>
          <w:lang w:val="en-US"/>
        </w:rPr>
        <w:sectPr w:rsidR="009B3276" w:rsidRPr="009B3276" w:rsidSect="009B3276">
          <w:pgSz w:w="12240" w:h="15840"/>
          <w:pgMar w:top="851" w:right="1080" w:bottom="1440" w:left="1080" w:header="0" w:footer="0" w:gutter="0"/>
          <w:cols w:space="420"/>
          <w:docGrid w:linePitch="299"/>
        </w:sectPr>
      </w:pPr>
    </w:p>
    <w:p w14:paraId="63C00EB2" w14:textId="77777777" w:rsidR="009923C5" w:rsidRDefault="009923C5"/>
    <w:sectPr w:rsidR="00992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9DAA19B2"/>
    <w:lvl w:ilvl="0" w:tplc="0C58C6E6">
      <w:start w:val="1"/>
      <w:numFmt w:val="bullet"/>
      <w:lvlText w:val=""/>
      <w:lvlJc w:val="left"/>
    </w:lvl>
    <w:lvl w:ilvl="1" w:tplc="E706841E">
      <w:numFmt w:val="decimal"/>
      <w:lvlText w:val=""/>
      <w:lvlJc w:val="left"/>
    </w:lvl>
    <w:lvl w:ilvl="2" w:tplc="D9285480">
      <w:numFmt w:val="decimal"/>
      <w:lvlText w:val=""/>
      <w:lvlJc w:val="left"/>
    </w:lvl>
    <w:lvl w:ilvl="3" w:tplc="2D2665FA">
      <w:numFmt w:val="decimal"/>
      <w:lvlText w:val=""/>
      <w:lvlJc w:val="left"/>
    </w:lvl>
    <w:lvl w:ilvl="4" w:tplc="C902F972">
      <w:numFmt w:val="decimal"/>
      <w:lvlText w:val=""/>
      <w:lvlJc w:val="left"/>
    </w:lvl>
    <w:lvl w:ilvl="5" w:tplc="14124FCC">
      <w:numFmt w:val="decimal"/>
      <w:lvlText w:val=""/>
      <w:lvlJc w:val="left"/>
    </w:lvl>
    <w:lvl w:ilvl="6" w:tplc="DF1EFC00">
      <w:numFmt w:val="decimal"/>
      <w:lvlText w:val=""/>
      <w:lvlJc w:val="left"/>
    </w:lvl>
    <w:lvl w:ilvl="7" w:tplc="1CA096CC">
      <w:numFmt w:val="decimal"/>
      <w:lvlText w:val=""/>
      <w:lvlJc w:val="left"/>
    </w:lvl>
    <w:lvl w:ilvl="8" w:tplc="8E26EDBA">
      <w:numFmt w:val="decimal"/>
      <w:lvlText w:val=""/>
      <w:lvlJc w:val="left"/>
    </w:lvl>
  </w:abstractNum>
  <w:abstractNum w:abstractNumId="1" w15:restartNumberingAfterBreak="0">
    <w:nsid w:val="012C2409"/>
    <w:multiLevelType w:val="hybridMultilevel"/>
    <w:tmpl w:val="FAE6E6AA"/>
    <w:lvl w:ilvl="0" w:tplc="283CFA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6CC9"/>
    <w:multiLevelType w:val="hybridMultilevel"/>
    <w:tmpl w:val="9F3A13C0"/>
    <w:lvl w:ilvl="0" w:tplc="6352C56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21F3A"/>
    <w:multiLevelType w:val="hybridMultilevel"/>
    <w:tmpl w:val="460CBC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33011"/>
    <w:multiLevelType w:val="hybridMultilevel"/>
    <w:tmpl w:val="8172578C"/>
    <w:lvl w:ilvl="0" w:tplc="BC3CEC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0A"/>
    <w:rsid w:val="000078F1"/>
    <w:rsid w:val="000339CD"/>
    <w:rsid w:val="00056EDD"/>
    <w:rsid w:val="000728D7"/>
    <w:rsid w:val="000942C5"/>
    <w:rsid w:val="000A487E"/>
    <w:rsid w:val="000C0861"/>
    <w:rsid w:val="000E28C1"/>
    <w:rsid w:val="000E7CE7"/>
    <w:rsid w:val="000F3129"/>
    <w:rsid w:val="00136B7B"/>
    <w:rsid w:val="00155DFF"/>
    <w:rsid w:val="0017325B"/>
    <w:rsid w:val="0017627D"/>
    <w:rsid w:val="001E58AB"/>
    <w:rsid w:val="0020269C"/>
    <w:rsid w:val="00202CDB"/>
    <w:rsid w:val="002329C6"/>
    <w:rsid w:val="0023415E"/>
    <w:rsid w:val="002401CF"/>
    <w:rsid w:val="0025749E"/>
    <w:rsid w:val="0026589A"/>
    <w:rsid w:val="00285D8A"/>
    <w:rsid w:val="002C5B51"/>
    <w:rsid w:val="002F2842"/>
    <w:rsid w:val="002F7CCB"/>
    <w:rsid w:val="00302E76"/>
    <w:rsid w:val="0034029A"/>
    <w:rsid w:val="00366705"/>
    <w:rsid w:val="00372720"/>
    <w:rsid w:val="003B7992"/>
    <w:rsid w:val="00403D8F"/>
    <w:rsid w:val="004077E5"/>
    <w:rsid w:val="00422EBF"/>
    <w:rsid w:val="00425DEA"/>
    <w:rsid w:val="00435C7E"/>
    <w:rsid w:val="00483B8B"/>
    <w:rsid w:val="004A77BD"/>
    <w:rsid w:val="004A7DD9"/>
    <w:rsid w:val="004C67F0"/>
    <w:rsid w:val="004D24B4"/>
    <w:rsid w:val="00505E68"/>
    <w:rsid w:val="00521413"/>
    <w:rsid w:val="0053557E"/>
    <w:rsid w:val="005C06F8"/>
    <w:rsid w:val="00600600"/>
    <w:rsid w:val="00600ABC"/>
    <w:rsid w:val="00602561"/>
    <w:rsid w:val="006052D2"/>
    <w:rsid w:val="00617727"/>
    <w:rsid w:val="006338FA"/>
    <w:rsid w:val="006417F0"/>
    <w:rsid w:val="006621A6"/>
    <w:rsid w:val="00687134"/>
    <w:rsid w:val="006A46A6"/>
    <w:rsid w:val="006A6D0A"/>
    <w:rsid w:val="006D0B43"/>
    <w:rsid w:val="006D290A"/>
    <w:rsid w:val="00732900"/>
    <w:rsid w:val="00733343"/>
    <w:rsid w:val="0073604C"/>
    <w:rsid w:val="0076223A"/>
    <w:rsid w:val="00771675"/>
    <w:rsid w:val="00794B34"/>
    <w:rsid w:val="0079665F"/>
    <w:rsid w:val="007B5F37"/>
    <w:rsid w:val="007C615A"/>
    <w:rsid w:val="00824979"/>
    <w:rsid w:val="00832496"/>
    <w:rsid w:val="00835D2D"/>
    <w:rsid w:val="0083622F"/>
    <w:rsid w:val="00847A1F"/>
    <w:rsid w:val="00885EB8"/>
    <w:rsid w:val="00893EAD"/>
    <w:rsid w:val="008948DF"/>
    <w:rsid w:val="008A439F"/>
    <w:rsid w:val="008B324A"/>
    <w:rsid w:val="008E4AF9"/>
    <w:rsid w:val="008F66AD"/>
    <w:rsid w:val="00931086"/>
    <w:rsid w:val="00940F2C"/>
    <w:rsid w:val="0094505B"/>
    <w:rsid w:val="00951FAA"/>
    <w:rsid w:val="009548C4"/>
    <w:rsid w:val="009829B6"/>
    <w:rsid w:val="00984E28"/>
    <w:rsid w:val="009923C5"/>
    <w:rsid w:val="0099317C"/>
    <w:rsid w:val="009B3276"/>
    <w:rsid w:val="009D0407"/>
    <w:rsid w:val="009D4FF8"/>
    <w:rsid w:val="009F181C"/>
    <w:rsid w:val="009F35C7"/>
    <w:rsid w:val="009F4C64"/>
    <w:rsid w:val="00A000FE"/>
    <w:rsid w:val="00A16CA4"/>
    <w:rsid w:val="00A322DD"/>
    <w:rsid w:val="00A379C6"/>
    <w:rsid w:val="00A967CC"/>
    <w:rsid w:val="00AF15B8"/>
    <w:rsid w:val="00AF305C"/>
    <w:rsid w:val="00B24EF4"/>
    <w:rsid w:val="00B37FBA"/>
    <w:rsid w:val="00B44BC6"/>
    <w:rsid w:val="00B4575E"/>
    <w:rsid w:val="00B46928"/>
    <w:rsid w:val="00BA085E"/>
    <w:rsid w:val="00BA2276"/>
    <w:rsid w:val="00BA75ED"/>
    <w:rsid w:val="00BB59F7"/>
    <w:rsid w:val="00BC6FA1"/>
    <w:rsid w:val="00BE4F51"/>
    <w:rsid w:val="00BF07F5"/>
    <w:rsid w:val="00C0428F"/>
    <w:rsid w:val="00C1784B"/>
    <w:rsid w:val="00C427F0"/>
    <w:rsid w:val="00C471AF"/>
    <w:rsid w:val="00C50214"/>
    <w:rsid w:val="00C5265D"/>
    <w:rsid w:val="00C65068"/>
    <w:rsid w:val="00CF6923"/>
    <w:rsid w:val="00D0596E"/>
    <w:rsid w:val="00D073EB"/>
    <w:rsid w:val="00D16340"/>
    <w:rsid w:val="00D532C3"/>
    <w:rsid w:val="00D639FC"/>
    <w:rsid w:val="00D71A30"/>
    <w:rsid w:val="00D74217"/>
    <w:rsid w:val="00D8084B"/>
    <w:rsid w:val="00D80B4E"/>
    <w:rsid w:val="00D81583"/>
    <w:rsid w:val="00DD3100"/>
    <w:rsid w:val="00E0228A"/>
    <w:rsid w:val="00E43702"/>
    <w:rsid w:val="00E47E5B"/>
    <w:rsid w:val="00E60DC4"/>
    <w:rsid w:val="00E83E39"/>
    <w:rsid w:val="00E96D1B"/>
    <w:rsid w:val="00EE40E1"/>
    <w:rsid w:val="00EF414A"/>
    <w:rsid w:val="00F33BA0"/>
    <w:rsid w:val="00F4507C"/>
    <w:rsid w:val="00F536BA"/>
    <w:rsid w:val="00F70CAC"/>
    <w:rsid w:val="00F741F4"/>
    <w:rsid w:val="00FA394C"/>
    <w:rsid w:val="00FB6749"/>
    <w:rsid w:val="00FD1C1B"/>
    <w:rsid w:val="00F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0558"/>
  <w15:chartTrackingRefBased/>
  <w15:docId w15:val="{2EDA4AFD-641D-4FAE-BBF8-CBAE4447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90A"/>
    <w:pPr>
      <w:spacing w:after="0" w:line="240" w:lineRule="auto"/>
    </w:pPr>
    <w:rPr>
      <w:rFonts w:ascii="Times New Roman" w:eastAsiaTheme="minorEastAsia" w:hAnsi="Times New Roman" w:cs="Times New Roman"/>
      <w:lang w:val="en-NG" w:eastAsia="en-N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9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AF30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cPr>
      <w:shd w:val="clear" w:color="auto" w:fill="FF33CC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A39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G" w:eastAsia="en-NG"/>
    </w:rPr>
  </w:style>
  <w:style w:type="table" w:styleId="TableGrid">
    <w:name w:val="Table Grid"/>
    <w:basedOn w:val="TableNormal"/>
    <w:uiPriority w:val="39"/>
    <w:rsid w:val="0026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413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5355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85E"/>
    <w:rPr>
      <w:rFonts w:ascii="Times New Roman" w:eastAsiaTheme="minorEastAsia" w:hAnsi="Times New Roman" w:cs="Times New Roman"/>
      <w:sz w:val="20"/>
      <w:szCs w:val="20"/>
      <w:lang w:val="en-NG" w:eastAsia="en-N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5E"/>
    <w:rPr>
      <w:rFonts w:ascii="Times New Roman" w:eastAsiaTheme="minorEastAsia" w:hAnsi="Times New Roman" w:cs="Times New Roman"/>
      <w:b/>
      <w:bCs/>
      <w:sz w:val="20"/>
      <w:szCs w:val="20"/>
      <w:lang w:val="en-NG" w:eastAsia="en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5E"/>
    <w:rPr>
      <w:rFonts w:ascii="Segoe UI" w:eastAsiaTheme="minorEastAsia" w:hAnsi="Segoe UI" w:cs="Segoe UI"/>
      <w:sz w:val="18"/>
      <w:szCs w:val="18"/>
      <w:lang w:val="en-NG" w:eastAsia="en-NG"/>
    </w:rPr>
  </w:style>
  <w:style w:type="table" w:styleId="GridTable4-Accent5">
    <w:name w:val="Grid Table 4 Accent 5"/>
    <w:basedOn w:val="TableNormal"/>
    <w:uiPriority w:val="49"/>
    <w:rsid w:val="00B44B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8FB26325DD5459EF957855A64A102" ma:contentTypeVersion="13" ma:contentTypeDescription="Create a new document." ma:contentTypeScope="" ma:versionID="868196ba38b4d1a40b8cc25be5c6f51c">
  <xsd:schema xmlns:xsd="http://www.w3.org/2001/XMLSchema" xmlns:xs="http://www.w3.org/2001/XMLSchema" xmlns:p="http://schemas.microsoft.com/office/2006/metadata/properties" xmlns:ns3="1a6565ef-7f1f-477f-ad9d-85e9356028b1" xmlns:ns4="fd6b44a0-ba55-421e-8880-9d3ef6a08fdd" targetNamespace="http://schemas.microsoft.com/office/2006/metadata/properties" ma:root="true" ma:fieldsID="e112c2f6701e99df230c475d6b969bf4" ns3:_="" ns4:_="">
    <xsd:import namespace="1a6565ef-7f1f-477f-ad9d-85e9356028b1"/>
    <xsd:import namespace="fd6b44a0-ba55-421e-8880-9d3ef6a08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65ef-7f1f-477f-ad9d-85e93560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44a0-ba55-421e-8880-9d3ef6a0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3F037-1C7F-4059-A761-D70D9B770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65ef-7f1f-477f-ad9d-85e9356028b1"/>
    <ds:schemaRef ds:uri="fd6b44a0-ba55-421e-8880-9d3ef6a08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C4C7B-7BAC-4624-A5F8-8749215BE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D5203-3536-435D-ABAC-D6A0D74BD7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Initiating the Project </vt:lpstr>
      <vt:lpstr>Planning Process </vt:lpstr>
      <vt:lpstr>Executing Process </vt:lpstr>
      <vt:lpstr>Monitoring of the Project </vt:lpstr>
      <vt:lpstr>Evaluation </vt:lpstr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Adewunmi Christabel Omolade</dc:creator>
  <cp:keywords/>
  <dc:description/>
  <cp:lastModifiedBy>Adewunmi Christabel Omolade</cp:lastModifiedBy>
  <cp:revision>142</cp:revision>
  <dcterms:created xsi:type="dcterms:W3CDTF">2020-04-03T16:42:00Z</dcterms:created>
  <dcterms:modified xsi:type="dcterms:W3CDTF">2020-04-03T20:50:00Z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0x0101000358FB26325DD5459EF957855A64A102</vt:lpwstr>
  </property>
</Properties>
</file>