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4F" w:rsidRDefault="00973F4F" w:rsidP="00973F4F">
      <w:r>
        <w:t>NA</w:t>
      </w:r>
      <w:r>
        <w:t>ME: OBIESIE CHUKWUDAALU</w:t>
      </w:r>
    </w:p>
    <w:p w:rsidR="00973F4F" w:rsidRDefault="00973F4F" w:rsidP="00973F4F">
      <w:r>
        <w:t>DEPARTMENT: PHARMACOLOGY</w:t>
      </w:r>
    </w:p>
    <w:p w:rsidR="00973F4F" w:rsidRDefault="00973F4F" w:rsidP="00973F4F">
      <w:r>
        <w:t>MATRIC NUMBER: 17/MHS07/018</w:t>
      </w:r>
    </w:p>
    <w:p w:rsidR="00973F4F" w:rsidRDefault="00973F4F" w:rsidP="00973F4F">
      <w:r>
        <w:t>COURSE CODE: PHA 306</w:t>
      </w:r>
    </w:p>
    <w:p w:rsidR="00973F4F" w:rsidRDefault="00973F4F" w:rsidP="00973F4F">
      <w:r>
        <w:t>COURSE TITLE: SYSTEM PHARMACOLOGY</w:t>
      </w:r>
    </w:p>
    <w:p w:rsidR="00973F4F" w:rsidRDefault="00973F4F" w:rsidP="00973F4F">
      <w:pPr>
        <w:rPr>
          <w:u w:val="single"/>
        </w:rPr>
      </w:pPr>
      <w:r>
        <w:t xml:space="preserve">                                                              </w:t>
      </w:r>
      <w:r>
        <w:rPr>
          <w:u w:val="single"/>
        </w:rPr>
        <w:t>ASSIGNMENT</w:t>
      </w:r>
    </w:p>
    <w:p w:rsidR="00973F4F" w:rsidRDefault="00973F4F" w:rsidP="00973F4F">
      <w:pPr>
        <w:pStyle w:val="ListParagraph"/>
        <w:numPr>
          <w:ilvl w:val="0"/>
          <w:numId w:val="1"/>
        </w:numPr>
      </w:pPr>
      <w:r>
        <w:t>A drug used in the treatment of urinary tract infection causes brown coloration of urine. Explain in full detail the pharmacology of the drug under the following headings:</w:t>
      </w:r>
    </w:p>
    <w:p w:rsidR="00973F4F" w:rsidRDefault="00973F4F" w:rsidP="00973F4F">
      <w:pPr>
        <w:pStyle w:val="ListParagraph"/>
        <w:numPr>
          <w:ilvl w:val="0"/>
          <w:numId w:val="2"/>
        </w:numPr>
      </w:pPr>
      <w:r>
        <w:t>Name of the drug.</w:t>
      </w:r>
    </w:p>
    <w:p w:rsidR="00973F4F" w:rsidRDefault="00973F4F" w:rsidP="00973F4F">
      <w:pPr>
        <w:pStyle w:val="ListParagraph"/>
        <w:numPr>
          <w:ilvl w:val="0"/>
          <w:numId w:val="10"/>
        </w:numPr>
      </w:pPr>
      <w:r>
        <w:t>Nitrofurantoin.</w:t>
      </w:r>
    </w:p>
    <w:p w:rsidR="00973F4F" w:rsidRDefault="00973F4F" w:rsidP="00973F4F">
      <w:pPr>
        <w:pStyle w:val="ListParagraph"/>
        <w:numPr>
          <w:ilvl w:val="0"/>
          <w:numId w:val="2"/>
        </w:numPr>
      </w:pPr>
      <w:r>
        <w:t>Antibacterial activity.</w:t>
      </w:r>
    </w:p>
    <w:p w:rsidR="00973F4F" w:rsidRDefault="00973F4F" w:rsidP="00973F4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Sensitive bacteria reduce the drug to an active agent that inhibits various enzymes and damages DNA. Activity is greater in acidic urine. Nitrofurantoin is bacteriostatic for most susceptible micro-organisms at concentrations of 32ug/ml or less and is bactericidal at concentrations of 100ug/ml and more. The antibacterial activity is higher in an acidic urine. It is active against many strains of </w:t>
      </w:r>
      <w:proofErr w:type="spellStart"/>
      <w:proofErr w:type="gramStart"/>
      <w:r>
        <w:rPr>
          <w:rFonts w:eastAsia="+mn-ea" w:cstheme="minorHAnsi"/>
          <w:bCs/>
          <w:i/>
          <w:iCs/>
          <w:color w:val="000000"/>
          <w:kern w:val="24"/>
          <w:sz w:val="24"/>
          <w:szCs w:val="24"/>
        </w:rPr>
        <w:t>E.Coli</w:t>
      </w:r>
      <w:proofErr w:type="spellEnd"/>
      <w:proofErr w:type="gramEnd"/>
      <w:r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 and enterococci. However, most species of </w:t>
      </w:r>
      <w:proofErr w:type="spellStart"/>
      <w:r>
        <w:rPr>
          <w:rFonts w:eastAsia="+mn-ea" w:cstheme="minorHAnsi"/>
          <w:bCs/>
          <w:color w:val="000000"/>
          <w:kern w:val="24"/>
          <w:sz w:val="24"/>
          <w:szCs w:val="24"/>
        </w:rPr>
        <w:t>proteus</w:t>
      </w:r>
      <w:proofErr w:type="spellEnd"/>
      <w:r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 and pseudomonas and many species of </w:t>
      </w:r>
      <w:proofErr w:type="spellStart"/>
      <w:r>
        <w:rPr>
          <w:rFonts w:eastAsia="+mn-ea" w:cstheme="minorHAnsi"/>
          <w:bCs/>
          <w:color w:val="000000"/>
          <w:kern w:val="24"/>
          <w:sz w:val="24"/>
          <w:szCs w:val="24"/>
        </w:rPr>
        <w:t>enterobacter</w:t>
      </w:r>
      <w:proofErr w:type="spellEnd"/>
      <w:r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 and </w:t>
      </w:r>
      <w:proofErr w:type="spellStart"/>
      <w:r>
        <w:rPr>
          <w:rFonts w:eastAsia="+mn-ea" w:cstheme="minorHAnsi"/>
          <w:bCs/>
          <w:color w:val="000000"/>
          <w:kern w:val="24"/>
          <w:sz w:val="24"/>
          <w:szCs w:val="24"/>
        </w:rPr>
        <w:t>klebsiella</w:t>
      </w:r>
      <w:proofErr w:type="spellEnd"/>
      <w:r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 are resistant.</w:t>
      </w:r>
    </w:p>
    <w:p w:rsidR="00973F4F" w:rsidRDefault="00973F4F" w:rsidP="00973F4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Mechanism of action.</w:t>
      </w:r>
    </w:p>
    <w:p w:rsidR="00973F4F" w:rsidRDefault="00973F4F" w:rsidP="00973F4F">
      <w:pPr>
        <w:pStyle w:val="ListParagraph"/>
        <w:numPr>
          <w:ilvl w:val="0"/>
          <w:numId w:val="12"/>
        </w:numPr>
        <w:spacing w:after="0" w:line="240" w:lineRule="auto"/>
        <w:rPr>
          <w:rFonts w:eastAsia="+mn-ea" w:cstheme="minorHAnsi"/>
          <w:bCs/>
          <w:color w:val="000000"/>
          <w:kern w:val="24"/>
          <w:sz w:val="24"/>
          <w:szCs w:val="24"/>
        </w:rPr>
      </w:pPr>
      <w:r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It is rapidly reduced in bacterial cells by </w:t>
      </w:r>
      <w:proofErr w:type="spellStart"/>
      <w:r>
        <w:rPr>
          <w:rFonts w:eastAsia="+mn-ea" w:cstheme="minorHAnsi"/>
          <w:bCs/>
          <w:color w:val="000000"/>
          <w:kern w:val="24"/>
          <w:sz w:val="24"/>
          <w:szCs w:val="24"/>
        </w:rPr>
        <w:t>flavoproteins</w:t>
      </w:r>
      <w:proofErr w:type="spellEnd"/>
      <w:r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 (</w:t>
      </w:r>
      <w:proofErr w:type="spellStart"/>
      <w:r>
        <w:rPr>
          <w:rFonts w:eastAsia="+mn-ea" w:cstheme="minorHAnsi"/>
          <w:bCs/>
          <w:color w:val="000000"/>
          <w:kern w:val="24"/>
          <w:sz w:val="24"/>
          <w:szCs w:val="24"/>
        </w:rPr>
        <w:t>nitrofuran</w:t>
      </w:r>
      <w:proofErr w:type="spellEnd"/>
      <w:r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 reductase) to multiple reactive intermediates that attack ribosomal proteins, DNA, respiration, pyruvate metabolism and other macromolecules within the bacterial cell, thereby inhibiting protein synthesis.</w:t>
      </w:r>
    </w:p>
    <w:p w:rsidR="00973F4F" w:rsidRDefault="00973F4F" w:rsidP="00973F4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Pharmacokinetics.</w:t>
      </w:r>
    </w:p>
    <w:p w:rsidR="00973F4F" w:rsidRDefault="00973F4F" w:rsidP="00973F4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+mn-ea" w:cstheme="minorHAnsi"/>
          <w:bCs/>
          <w:color w:val="000000"/>
          <w:kern w:val="24"/>
          <w:sz w:val="24"/>
          <w:szCs w:val="24"/>
        </w:rPr>
        <w:t>Nitrofurantoin is absorbed rapidly and completely from the GIT tract. Antibacterial concentrations are not achieved in plasma following ingestion of recommended doses because the drug is rapidly eliminated.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+mn-ea" w:cstheme="minorHAnsi"/>
          <w:bCs/>
          <w:color w:val="000000"/>
          <w:kern w:val="24"/>
          <w:sz w:val="24"/>
          <w:szCs w:val="24"/>
        </w:rPr>
        <w:t>Nitrofurantoin colors the urine brown.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+mn-ea" w:cstheme="minorHAnsi"/>
          <w:bCs/>
          <w:color w:val="000000"/>
          <w:kern w:val="24"/>
          <w:sz w:val="24"/>
          <w:szCs w:val="24"/>
        </w:rPr>
        <w:t>It is not used for pregnant women, individuals with impaired renal function, children younger than one month of age.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It is not recommended for the treatment of pyelonephritis or </w:t>
      </w:r>
      <w:proofErr w:type="spellStart"/>
      <w:r>
        <w:rPr>
          <w:rFonts w:eastAsia="+mn-ea" w:cstheme="minorHAnsi"/>
          <w:bCs/>
          <w:color w:val="000000"/>
          <w:kern w:val="24"/>
          <w:sz w:val="24"/>
          <w:szCs w:val="24"/>
        </w:rPr>
        <w:t>prostatis</w:t>
      </w:r>
      <w:proofErr w:type="spellEnd"/>
      <w:r>
        <w:rPr>
          <w:rFonts w:eastAsia="+mn-ea" w:cstheme="minorHAnsi"/>
          <w:bCs/>
          <w:color w:val="000000"/>
          <w:kern w:val="24"/>
          <w:sz w:val="24"/>
          <w:szCs w:val="24"/>
        </w:rPr>
        <w:t>.</w:t>
      </w:r>
    </w:p>
    <w:p w:rsidR="00973F4F" w:rsidRPr="00973F4F" w:rsidRDefault="00973F4F" w:rsidP="00973F4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Adverse effect.</w:t>
      </w:r>
    </w:p>
    <w:p w:rsidR="00973F4F" w:rsidRDefault="00973F4F" w:rsidP="00973F4F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+mn-ea" w:cstheme="minorHAnsi"/>
          <w:bCs/>
          <w:color w:val="000000"/>
          <w:kern w:val="24"/>
          <w:sz w:val="24"/>
          <w:szCs w:val="24"/>
        </w:rPr>
        <w:t>Gastrointestinal disturbances: these side effects include nausea, vomiting, and diarrhea.</w:t>
      </w:r>
      <w:bookmarkStart w:id="0" w:name="_GoBack"/>
      <w:bookmarkEnd w:id="0"/>
    </w:p>
    <w:p w:rsidR="00973F4F" w:rsidRDefault="00973F4F" w:rsidP="00973F4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+mn-ea" w:cstheme="minorHAnsi"/>
          <w:bCs/>
          <w:color w:val="000000"/>
          <w:kern w:val="24"/>
          <w:sz w:val="24"/>
          <w:szCs w:val="24"/>
        </w:rPr>
        <w:t>Acute pneumonitis</w:t>
      </w:r>
    </w:p>
    <w:p w:rsidR="00973F4F" w:rsidRPr="00973F4F" w:rsidRDefault="00973F4F" w:rsidP="00973F4F">
      <w:pPr>
        <w:pStyle w:val="ListParagraph"/>
        <w:numPr>
          <w:ilvl w:val="0"/>
          <w:numId w:val="16"/>
        </w:numPr>
        <w:spacing w:after="0" w:line="240" w:lineRule="auto"/>
        <w:rPr>
          <w:rFonts w:eastAsia="+mn-ea" w:cstheme="minorHAnsi"/>
          <w:bCs/>
          <w:color w:val="000000"/>
          <w:kern w:val="24"/>
          <w:sz w:val="24"/>
          <w:szCs w:val="24"/>
        </w:rPr>
      </w:pPr>
      <w:r w:rsidRPr="00973F4F">
        <w:rPr>
          <w:rFonts w:eastAsia="+mn-ea" w:cstheme="minorHAnsi"/>
          <w:bCs/>
          <w:color w:val="000000"/>
          <w:kern w:val="24"/>
          <w:sz w:val="24"/>
          <w:szCs w:val="24"/>
        </w:rPr>
        <w:t>Neurological problems such</w:t>
      </w:r>
      <w:r w:rsidRPr="00973F4F">
        <w:rPr>
          <w:rFonts w:ascii="Century Gothic" w:eastAsia="+mn-ea" w:hAnsi="Century Gothic" w:cs="+mn-cs"/>
          <w:b/>
          <w:bCs/>
          <w:color w:val="000000"/>
          <w:kern w:val="24"/>
          <w:sz w:val="40"/>
          <w:szCs w:val="40"/>
        </w:rPr>
        <w:t xml:space="preserve"> </w:t>
      </w:r>
      <w:r w:rsidRPr="00973F4F">
        <w:rPr>
          <w:rFonts w:eastAsia="+mn-ea" w:cstheme="minorHAnsi"/>
          <w:bCs/>
          <w:color w:val="000000"/>
          <w:kern w:val="24"/>
          <w:sz w:val="24"/>
          <w:szCs w:val="24"/>
        </w:rPr>
        <w:t>as headache, nystagmus, and polyneuropathies with demyelination may occur.</w:t>
      </w:r>
    </w:p>
    <w:p w:rsidR="00973F4F" w:rsidRPr="00973F4F" w:rsidRDefault="00973F4F" w:rsidP="00973F4F">
      <w:pPr>
        <w:pStyle w:val="ListParagraph"/>
        <w:numPr>
          <w:ilvl w:val="3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73F4F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Hemolytic anemia.                 </w:t>
      </w:r>
    </w:p>
    <w:p w:rsidR="00973F4F" w:rsidRDefault="00973F4F" w:rsidP="00973F4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973F4F" w:rsidRDefault="00973F4F" w:rsidP="00973F4F">
      <w:pPr>
        <w:pStyle w:val="ListParagraph"/>
        <w:rPr>
          <w:rFonts w:cstheme="minorHAnsi"/>
          <w:sz w:val="24"/>
          <w:szCs w:val="24"/>
        </w:rPr>
      </w:pPr>
    </w:p>
    <w:p w:rsidR="00352B79" w:rsidRDefault="00352B79"/>
    <w:sectPr w:rsidR="0035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3FF"/>
    <w:multiLevelType w:val="hybridMultilevel"/>
    <w:tmpl w:val="BCCA17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623DEB"/>
    <w:multiLevelType w:val="hybridMultilevel"/>
    <w:tmpl w:val="5A8E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2A7"/>
    <w:multiLevelType w:val="hybridMultilevel"/>
    <w:tmpl w:val="9742320E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3A42D49"/>
    <w:multiLevelType w:val="hybridMultilevel"/>
    <w:tmpl w:val="10C0F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901F2"/>
    <w:multiLevelType w:val="hybridMultilevel"/>
    <w:tmpl w:val="974E38EA"/>
    <w:lvl w:ilvl="0" w:tplc="04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5" w15:restartNumberingAfterBreak="0">
    <w:nsid w:val="2CB83F25"/>
    <w:multiLevelType w:val="hybridMultilevel"/>
    <w:tmpl w:val="57665FEA"/>
    <w:lvl w:ilvl="0" w:tplc="0409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6" w15:restartNumberingAfterBreak="0">
    <w:nsid w:val="336E3411"/>
    <w:multiLevelType w:val="hybridMultilevel"/>
    <w:tmpl w:val="A8F2D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C5FFD"/>
    <w:multiLevelType w:val="hybridMultilevel"/>
    <w:tmpl w:val="7994C9BE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8" w15:restartNumberingAfterBreak="0">
    <w:nsid w:val="3E0A46BC"/>
    <w:multiLevelType w:val="hybridMultilevel"/>
    <w:tmpl w:val="DC44B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DD50B9"/>
    <w:multiLevelType w:val="hybridMultilevel"/>
    <w:tmpl w:val="FB30173C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0" w15:restartNumberingAfterBreak="0">
    <w:nsid w:val="49340109"/>
    <w:multiLevelType w:val="hybridMultilevel"/>
    <w:tmpl w:val="BF9A152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7F3FC5"/>
    <w:multiLevelType w:val="hybridMultilevel"/>
    <w:tmpl w:val="4258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F1894"/>
    <w:multiLevelType w:val="hybridMultilevel"/>
    <w:tmpl w:val="54F6EF80"/>
    <w:lvl w:ilvl="0" w:tplc="0409000D">
      <w:start w:val="1"/>
      <w:numFmt w:val="bullet"/>
      <w:lvlText w:val=""/>
      <w:lvlJc w:val="left"/>
      <w:pPr>
        <w:ind w:left="196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13" w15:restartNumberingAfterBreak="0">
    <w:nsid w:val="79DF25EC"/>
    <w:multiLevelType w:val="hybridMultilevel"/>
    <w:tmpl w:val="270E962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7F633EF6"/>
    <w:multiLevelType w:val="hybridMultilevel"/>
    <w:tmpl w:val="38F68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4F"/>
    <w:rsid w:val="00352B79"/>
    <w:rsid w:val="0097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7965"/>
  <w15:chartTrackingRefBased/>
  <w15:docId w15:val="{1ABE1997-B672-4A74-A74C-A965C395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3F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1</cp:revision>
  <dcterms:created xsi:type="dcterms:W3CDTF">2020-04-06T20:14:00Z</dcterms:created>
  <dcterms:modified xsi:type="dcterms:W3CDTF">2020-04-06T20:20:00Z</dcterms:modified>
</cp:coreProperties>
</file>