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sz w:val="48"/>
        </w:rPr>
      </w:pPr>
      <w:r>
        <w:rPr>
          <w:sz w:val="48"/>
          <w:lang w:val="en-US"/>
        </w:rPr>
        <w:t xml:space="preserve">Abubakar </w:t>
      </w:r>
      <w:r>
        <w:rPr>
          <w:sz w:val="48"/>
          <w:lang w:val="en-US"/>
        </w:rPr>
        <w:t>Badamasi</w:t>
      </w:r>
    </w:p>
    <w:p>
      <w:pPr>
        <w:rPr>
          <w:sz w:val="48"/>
        </w:rPr>
      </w:pPr>
      <w:r>
        <w:rPr>
          <w:sz w:val="48"/>
          <w:lang w:val="en-US"/>
        </w:rPr>
        <w:t>18/</w:t>
      </w:r>
      <w:r>
        <w:rPr>
          <w:sz w:val="48"/>
          <w:lang w:val="en-US"/>
        </w:rPr>
        <w:t>mhs07/053</w:t>
      </w:r>
    </w:p>
    <w:p>
      <w:pPr>
        <w:rPr>
          <w:sz w:val="48"/>
        </w:rPr>
      </w:pPr>
      <w:r>
        <w:rPr>
          <w:sz w:val="48"/>
          <w:lang w:val="en-US"/>
        </w:rPr>
        <w:t>Pharmacology</w:t>
      </w:r>
    </w:p>
    <w:p>
      <w:pPr>
        <w:rPr>
          <w:sz w:val="48"/>
        </w:rPr>
      </w:pPr>
      <w:r>
        <w:rPr>
          <w:sz w:val="48"/>
          <w:lang w:val="en-US"/>
        </w:rPr>
        <w:t>300level</w:t>
      </w:r>
    </w:p>
    <w:p>
      <w:pPr>
        <w:rPr>
          <w:sz w:val="48"/>
        </w:rPr>
      </w:pPr>
      <w:r>
        <w:rPr>
          <w:sz w:val="48"/>
          <w:lang w:val="en-US"/>
        </w:rPr>
        <w:t>PHA306</w:t>
      </w:r>
    </w:p>
    <w:p>
      <w:pPr>
        <w:rPr>
          <w:sz w:val="48"/>
        </w:rPr>
      </w:pPr>
      <w:r>
        <w:rPr>
          <w:sz w:val="48"/>
          <w:lang w:val="en-US"/>
        </w:rPr>
        <w:t>07/04/2020</w:t>
      </w:r>
    </w:p>
    <w:p>
      <w:pPr>
        <w:rPr>
          <w:sz w:val="48"/>
        </w:rPr>
      </w:pPr>
      <w:r>
        <w:rPr>
          <w:sz w:val="48"/>
        </w:rPr>
        <w:t xml:space="preserve">                      </w:t>
      </w:r>
      <w:r>
        <w:rPr>
          <w:sz w:val="48"/>
          <w:u w:val="single"/>
          <w:lang w:val="en-US"/>
        </w:rPr>
        <w:t xml:space="preserve">Assignment </w:t>
      </w:r>
    </w:p>
    <w:p>
      <w:pPr>
        <w:rPr>
          <w:sz w:val="40"/>
          <w:lang w:val="en-US"/>
        </w:rPr>
      </w:pPr>
      <w:r>
        <w:rPr>
          <w:sz w:val="40"/>
          <w:lang w:val="en-US"/>
        </w:rPr>
        <w:t xml:space="preserve">A </w:t>
      </w:r>
      <w:r>
        <w:rPr>
          <w:sz w:val="40"/>
          <w:lang w:val="en-US"/>
        </w:rPr>
        <w:t xml:space="preserve">drug </w:t>
      </w:r>
      <w:r>
        <w:rPr>
          <w:sz w:val="40"/>
          <w:lang w:val="en-US"/>
        </w:rPr>
        <w:t xml:space="preserve">used </w:t>
      </w:r>
      <w:r>
        <w:rPr>
          <w:sz w:val="40"/>
          <w:lang w:val="en-US"/>
        </w:rPr>
        <w:t xml:space="preserve">in d </w:t>
      </w:r>
      <w:r>
        <w:rPr>
          <w:sz w:val="40"/>
          <w:lang w:val="en-US"/>
        </w:rPr>
        <w:t xml:space="preserve">treatment </w:t>
      </w:r>
      <w:r>
        <w:rPr>
          <w:sz w:val="40"/>
          <w:lang w:val="en-US"/>
        </w:rPr>
        <w:t xml:space="preserve">of </w:t>
      </w:r>
      <w:r>
        <w:rPr>
          <w:sz w:val="40"/>
          <w:lang w:val="en-US"/>
        </w:rPr>
        <w:t xml:space="preserve">urinary </w:t>
      </w:r>
      <w:r>
        <w:rPr>
          <w:sz w:val="40"/>
          <w:lang w:val="en-US"/>
        </w:rPr>
        <w:t xml:space="preserve">tract </w:t>
      </w:r>
      <w:r>
        <w:rPr>
          <w:sz w:val="40"/>
          <w:lang w:val="en-US"/>
        </w:rPr>
        <w:t xml:space="preserve">infection </w:t>
      </w:r>
      <w:r>
        <w:rPr>
          <w:sz w:val="40"/>
          <w:lang w:val="en-US"/>
        </w:rPr>
        <w:t xml:space="preserve">which </w:t>
      </w:r>
      <w:r>
        <w:rPr>
          <w:sz w:val="40"/>
          <w:lang w:val="en-US"/>
        </w:rPr>
        <w:t xml:space="preserve">causes </w:t>
      </w:r>
      <w:r>
        <w:rPr>
          <w:sz w:val="40"/>
          <w:lang w:val="en-US"/>
        </w:rPr>
        <w:t xml:space="preserve">brown </w:t>
      </w:r>
      <w:r>
        <w:rPr>
          <w:sz w:val="40"/>
          <w:lang w:val="en-US"/>
        </w:rPr>
        <w:t xml:space="preserve">coloration </w:t>
      </w:r>
      <w:r>
        <w:rPr>
          <w:sz w:val="40"/>
          <w:lang w:val="en-US"/>
        </w:rPr>
        <w:t xml:space="preserve">of </w:t>
      </w:r>
      <w:r>
        <w:rPr>
          <w:sz w:val="40"/>
          <w:lang w:val="en-US"/>
        </w:rPr>
        <w:t xml:space="preserve">urine. </w:t>
      </w:r>
      <w:r>
        <w:rPr>
          <w:sz w:val="40"/>
          <w:lang w:val="en-US"/>
        </w:rPr>
        <w:t xml:space="preserve">Explain </w:t>
      </w:r>
      <w:r>
        <w:rPr>
          <w:sz w:val="40"/>
          <w:lang w:val="en-US"/>
        </w:rPr>
        <w:t xml:space="preserve">in </w:t>
      </w:r>
      <w:r>
        <w:rPr>
          <w:sz w:val="40"/>
          <w:lang w:val="en-US"/>
        </w:rPr>
        <w:t xml:space="preserve">full </w:t>
      </w:r>
      <w:r>
        <w:rPr>
          <w:sz w:val="40"/>
          <w:lang w:val="en-US"/>
        </w:rPr>
        <w:t xml:space="preserve">details </w:t>
      </w:r>
      <w:r>
        <w:rPr>
          <w:sz w:val="40"/>
          <w:lang w:val="en-US"/>
        </w:rPr>
        <w:t xml:space="preserve">the </w:t>
      </w:r>
      <w:r>
        <w:rPr>
          <w:sz w:val="40"/>
          <w:lang w:val="en-US"/>
        </w:rPr>
        <w:t xml:space="preserve">pharmacology </w:t>
      </w:r>
      <w:r>
        <w:rPr>
          <w:sz w:val="40"/>
          <w:lang w:val="en-US"/>
        </w:rPr>
        <w:t xml:space="preserve">of </w:t>
      </w:r>
      <w:r>
        <w:rPr>
          <w:sz w:val="40"/>
          <w:lang w:val="en-US"/>
        </w:rPr>
        <w:t xml:space="preserve">the </w:t>
      </w:r>
      <w:r>
        <w:rPr>
          <w:sz w:val="40"/>
          <w:lang w:val="en-US"/>
        </w:rPr>
        <w:t xml:space="preserve">drug </w:t>
      </w:r>
      <w:r>
        <w:rPr>
          <w:sz w:val="40"/>
          <w:lang w:val="en-US"/>
        </w:rPr>
        <w:t xml:space="preserve">under </w:t>
      </w:r>
      <w:r>
        <w:rPr>
          <w:sz w:val="40"/>
          <w:lang w:val="en-US"/>
        </w:rPr>
        <w:t xml:space="preserve">the </w:t>
      </w:r>
      <w:r>
        <w:rPr>
          <w:sz w:val="40"/>
          <w:lang w:val="en-US"/>
        </w:rPr>
        <w:t xml:space="preserve">following </w:t>
      </w:r>
      <w:r>
        <w:rPr>
          <w:sz w:val="40"/>
          <w:lang w:val="en-US"/>
        </w:rPr>
        <w:t xml:space="preserve">headings.      </w:t>
      </w:r>
    </w:p>
    <w:p>
      <w:pPr>
        <w:rPr>
          <w:sz w:val="40"/>
          <w:lang w:val="en-US"/>
        </w:rPr>
      </w:pPr>
      <w:r>
        <w:rPr>
          <w:sz w:val="40"/>
          <w:lang w:val="en-US"/>
        </w:rPr>
        <w:t xml:space="preserve">                 ......   Name of</w:t>
      </w:r>
      <w:r>
        <w:rPr>
          <w:sz w:val="40"/>
          <w:lang w:val="en-US"/>
        </w:rPr>
        <w:t xml:space="preserve"> </w:t>
      </w:r>
      <w:r>
        <w:rPr>
          <w:sz w:val="40"/>
          <w:lang w:val="en-US"/>
        </w:rPr>
        <w:t xml:space="preserve">the </w:t>
      </w:r>
      <w:r>
        <w:rPr>
          <w:sz w:val="40"/>
          <w:lang w:val="en-US"/>
        </w:rPr>
        <w:t>drug,</w:t>
      </w:r>
      <w:r>
        <w:rPr>
          <w:sz w:val="40"/>
          <w:lang w:val="en-US"/>
        </w:rPr>
        <w:t xml:space="preserve">Antibacterial </w:t>
      </w:r>
      <w:r>
        <w:rPr>
          <w:sz w:val="40"/>
          <w:lang w:val="en-US"/>
        </w:rPr>
        <w:t>activity,</w:t>
      </w:r>
      <w:r>
        <w:rPr>
          <w:sz w:val="40"/>
          <w:lang w:val="en-US"/>
        </w:rPr>
        <w:t xml:space="preserve">Mechanism </w:t>
      </w:r>
      <w:r>
        <w:rPr>
          <w:sz w:val="40"/>
          <w:lang w:val="en-US"/>
        </w:rPr>
        <w:t xml:space="preserve">of </w:t>
      </w:r>
      <w:r>
        <w:rPr>
          <w:sz w:val="40"/>
          <w:lang w:val="en-US"/>
        </w:rPr>
        <w:t>action,</w:t>
      </w:r>
      <w:r>
        <w:rPr>
          <w:sz w:val="40"/>
          <w:lang w:val="en-US"/>
        </w:rPr>
        <w:t xml:space="preserve">Pharmacokinetics </w:t>
      </w:r>
      <w:r>
        <w:rPr>
          <w:sz w:val="40"/>
          <w:lang w:val="en-US"/>
        </w:rPr>
        <w:t>and</w:t>
      </w:r>
      <w:r>
        <w:rPr>
          <w:sz w:val="40"/>
          <w:lang w:val="en-US"/>
        </w:rPr>
        <w:t xml:space="preserve"> </w:t>
      </w:r>
      <w:r>
        <w:rPr>
          <w:sz w:val="40"/>
          <w:lang w:val="en-US"/>
        </w:rPr>
        <w:t xml:space="preserve">Adverse </w:t>
      </w:r>
      <w:r>
        <w:rPr>
          <w:sz w:val="40"/>
          <w:lang w:val="en-US"/>
        </w:rPr>
        <w:t xml:space="preserve">effects.   </w:t>
      </w:r>
    </w:p>
    <w:p>
      <w:pPr>
        <w:rPr>
          <w:sz w:val="40"/>
          <w:lang w:val="en-US"/>
        </w:rPr>
      </w:pPr>
    </w:p>
    <w:p>
      <w:pPr>
        <w:rPr>
          <w:sz w:val="40"/>
          <w:lang w:val="en-US"/>
        </w:rPr>
      </w:pPr>
    </w:p>
    <w:p>
      <w:pPr>
        <w:rPr>
          <w:sz w:val="40"/>
          <w:lang w:val="en-US"/>
        </w:rPr>
      </w:pPr>
      <w:r>
        <w:rPr>
          <w:sz w:val="40"/>
          <w:lang w:val="en-US"/>
        </w:rPr>
        <w:t xml:space="preserve">(A) </w:t>
      </w:r>
      <w:r>
        <w:rPr>
          <w:sz w:val="40"/>
          <w:u w:val="single"/>
          <w:lang w:val="en-US"/>
        </w:rPr>
        <w:t xml:space="preserve">Name </w:t>
      </w:r>
      <w:r>
        <w:rPr>
          <w:sz w:val="40"/>
          <w:u w:val="single"/>
          <w:lang w:val="en-US"/>
        </w:rPr>
        <w:t xml:space="preserve">of </w:t>
      </w:r>
      <w:r>
        <w:rPr>
          <w:sz w:val="40"/>
          <w:u w:val="single"/>
          <w:lang w:val="en-US"/>
        </w:rPr>
        <w:t>drug:</w:t>
      </w:r>
      <w:r>
        <w:rPr>
          <w:sz w:val="40"/>
          <w:lang w:val="en-US"/>
        </w:rPr>
        <w:t xml:space="preserve">-  </w:t>
      </w:r>
      <w:r>
        <w:rPr>
          <w:sz w:val="40"/>
          <w:lang w:val="en-US"/>
        </w:rPr>
        <w:t>Nitrofurantoin,</w:t>
      </w:r>
      <w:r>
        <w:rPr>
          <w:sz w:val="40"/>
          <w:lang w:val="en-US"/>
        </w:rPr>
        <w:t xml:space="preserve">.       </w:t>
      </w:r>
    </w:p>
    <w:p>
      <w:pPr>
        <w:rPr>
          <w:sz w:val="40"/>
          <w:lang w:val="en-US"/>
        </w:rPr>
      </w:pPr>
      <w:r>
        <w:rPr>
          <w:sz w:val="40"/>
          <w:lang w:val="en-US"/>
        </w:rPr>
        <w:t xml:space="preserve">              </w:t>
      </w:r>
    </w:p>
    <w:p>
      <w:pPr>
        <w:rPr>
          <w:b w:val="off"/>
          <w:sz w:val="40"/>
          <w:lang w:val="en-US"/>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w:t>
      </w:r>
      <w:r>
        <w:rPr>
          <w:b w:val="off"/>
          <w:sz w:val="40"/>
          <w:lang w:val="en-US"/>
        </w:rPr>
        <w:t xml:space="preserve">(B) </w:t>
      </w:r>
      <w:r>
        <w:rPr>
          <w:b w:val="off"/>
          <w:sz w:val="40"/>
          <w:u w:val="single"/>
          <w:lang w:val="en-US"/>
        </w:rPr>
        <w:t>Antibacterial activity:-</w:t>
      </w:r>
      <w:r>
        <w:rPr>
          <w:b w:val="off"/>
          <w:sz w:val="40"/>
          <w:lang w:val="en-US"/>
        </w:rPr>
        <w:t xml:space="preserve"> </w:t>
      </w:r>
      <w:r>
        <w:rPr>
          <w:b w:val="off"/>
          <w:sz w:val="40"/>
          <w:lang w:val="en-US"/>
        </w:rPr>
        <w:t>Nitrofurantoin has broad antibacterial activity but its use in small animals is limited to treatment of lower urinary tract infections.</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It is less commonly employed for treating urinary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tract infection,</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because</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of its narrow antimicrobial spectrum, frequent bacterial resistance and toxicity.</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Sensitive</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bacteria reduce the drug to an active agent that inhibits various enzymes and damages DNA. Activity is greater in acidic urine.</w:t>
      </w:r>
    </w:p>
    <w:p>
      <w:pPr>
        <w:rPr>
          <w:b w:val="off"/>
          <w:sz w:val="40"/>
          <w:lang w:val="en-US"/>
        </w:rPr>
      </w:pPr>
      <w:r>
        <w:rPr>
          <w:b w:val="off"/>
          <w:sz w:val="40"/>
          <w:lang w:val="en-US"/>
        </w:rPr>
        <w:t>Nitrofurantoin has activity against several Gram-negative and some Gram-positive aerobic bacteria including many isolates of Escherichia, Klebsiella, Enterobacter, Enterococcus, Staphylococcus and Salmonella.</w:t>
      </w:r>
    </w:p>
    <w:p>
      <w:pPr>
        <w:rPr>
          <w:b w:val="off"/>
          <w:sz w:val="40"/>
          <w:lang w:val="en-US"/>
        </w:rPr>
      </w:pPr>
      <w:r>
        <w:rPr>
          <w:b w:val="off"/>
          <w:sz w:val="40"/>
          <w:lang w:val="en-US"/>
        </w:rPr>
        <w:t>It has little or no activity against most strains of Proteus and no activity against Pseuodmonas.</w:t>
      </w:r>
    </w:p>
    <w:p>
      <w:pPr>
        <w:rPr>
          <w:b w:val="off"/>
          <w:sz w:val="40"/>
          <w:lang w:val="en-US"/>
        </w:rPr>
      </w:pPr>
      <w:r>
        <w:rPr>
          <w:b w:val="off"/>
          <w:sz w:val="40"/>
          <w:lang w:val="en-US"/>
        </w:rPr>
        <w:t>Nitrofurans have moderate activity against anaerobic bacteria and are most active in anaerobic conditions. Some aerobic bacteria that are resistant under aerobic conditions are susceptible when tested under anaerobic</w:t>
      </w:r>
    </w:p>
    <w:p>
      <w:pPr>
        <w:rPr>
          <w:b w:val="off"/>
          <w:sz w:val="40"/>
          <w:lang w:val="en-US"/>
        </w:rPr>
      </w:pPr>
    </w:p>
    <w:p>
      <w:pPr>
        <w:keepNext w:val="off"/>
        <w:keepLines w:val="off"/>
        <w:pageBreakBefore w:val="off"/>
        <w:numPr>
          <w:ilvl w:val="0"/>
          <w:numId w:val="3"/>
        </w:numPr>
        <w:pBdr>
          <w:top w:val="nil" w:sz="4" w:space="0"/>
          <w:left w:val="nil" w:sz="4" w:space="0"/>
          <w:bottom w:val="nil" w:sz="4" w:space="0"/>
          <w:right w:val="nil" w:sz="4" w:space="0"/>
          <w:between w:val="nil" w:sz="4" w:space="0"/>
          <w:bar w:val="nil" w:sz="4" w:space="0"/>
        </w:pBdr>
        <w:shd w:val="nil" w:color="auto" w:fill="auto"/>
        <w:bidi w:val="off"/>
        <w:spacing w:before="80" w:after="0" w:line="240" w:lineRule="auto"/>
        <w:ind w:left="540" w:right="0" w:hanging="540"/>
        <w:contextualSpacing w:val="off"/>
        <w:jc w:val="left"/>
        <w:rPr>
          <w:b w:val="off"/>
          <w:highlight w:val="black"/>
        </w:rPr>
      </w:pPr>
      <w:r>
        <w:rPr>
          <w:b w:val="off"/>
          <w:sz w:val="40"/>
          <w:lang w:val="en-US"/>
        </w:rPr>
        <w:t xml:space="preserve">(C) </w:t>
      </w:r>
      <w:r>
        <w:rPr>
          <w:b w:val="off"/>
          <w:sz w:val="40"/>
          <w:u w:val="single"/>
          <w:lang w:val="en-US"/>
        </w:rPr>
        <w:t xml:space="preserve">Mechanism </w:t>
      </w:r>
      <w:r>
        <w:rPr>
          <w:b w:val="off"/>
          <w:sz w:val="40"/>
          <w:u w:val="single"/>
          <w:lang w:val="en-US"/>
        </w:rPr>
        <w:t xml:space="preserve">of </w:t>
      </w:r>
      <w:r>
        <w:rPr>
          <w:b w:val="off"/>
          <w:sz w:val="40"/>
          <w:u w:val="single"/>
          <w:lang w:val="en-US"/>
        </w:rPr>
        <w:t>action:</w:t>
      </w:r>
      <w:r>
        <w:rPr>
          <w:b w:val="off"/>
          <w:sz w:val="40"/>
          <w:lang w:val="en-US"/>
        </w:rPr>
        <w:t xml:space="preserve">- </w:t>
      </w:r>
      <w:r>
        <w:rPr>
          <w:b w:val="off"/>
          <w:sz w:val="40"/>
          <w:lang w:val="en-US"/>
        </w:rPr>
        <w:t xml:space="preserve">Nitrofurantoin is activated inside bacteria by reduction via the flavoprotein nitrofurantoin reductase to unstable metabolites, which disrupt ribosomal RNA, DNA and other intracellular components. It is bactericidal, especially to bacteria present in acid urine.                                       </w:t>
      </w:r>
    </w:p>
    <w:p>
      <w:pPr>
        <w:keepNext w:val="off"/>
        <w:keepLines w:val="off"/>
        <w:pageBreakBefore w:val="off"/>
        <w:numPr>
          <w:ilvl w:val="0"/>
          <w:numId w:val="0"/>
        </w:numPr>
        <w:pBdr>
          <w:top w:val="nil" w:sz="4" w:space="0"/>
          <w:left w:val="nil" w:sz="4" w:space="0"/>
          <w:bottom w:val="nil" w:sz="4" w:space="0"/>
          <w:right w:val="nil" w:sz="4" w:space="0"/>
          <w:between w:val="nil" w:sz="4" w:space="0"/>
          <w:bar w:val="nil" w:sz="4" w:space="0"/>
        </w:pBdr>
        <w:shd w:val="nil" w:color="auto" w:fill="auto"/>
        <w:bidi w:val="off"/>
        <w:spacing w:before="80" w:after="0" w:line="240" w:lineRule="auto"/>
        <w:ind w:left="540" w:right="0" w:firstLine="0"/>
        <w:contextualSpacing w:val="off"/>
        <w:jc w:val="left"/>
        <w:rPr>
          <w:b w:val="off"/>
        </w:rPr>
      </w:pPr>
    </w:p>
    <w:p>
      <w:pPr>
        <w:keepNext w:val="off"/>
        <w:keepLines w:val="off"/>
        <w:pageBreakBefore w:val="off"/>
        <w:numPr>
          <w:ilvl w:val="0"/>
          <w:numId w:val="4"/>
        </w:numPr>
        <w:pBdr>
          <w:top w:val="nil" w:sz="4" w:space="0"/>
          <w:left w:val="nil" w:sz="4" w:space="0"/>
          <w:bottom w:val="nil" w:sz="4" w:space="0"/>
          <w:right w:val="nil" w:sz="4" w:space="0"/>
          <w:between w:val="nil" w:sz="4" w:space="0"/>
          <w:bar w:val="nil" w:sz="4" w:space="0"/>
        </w:pBdr>
        <w:shd w:val="nil" w:color="auto" w:fill="auto"/>
        <w:bidi w:val="off"/>
        <w:spacing w:before="40" w:after="0" w:line="240" w:lineRule="auto"/>
        <w:ind w:left="540" w:right="0" w:hanging="540"/>
        <w:contextualSpacing w:val="off"/>
        <w:jc w:val="left"/>
        <w:rPr>
          <w:b w:val="off"/>
        </w:rPr>
      </w:pPr>
      <w:r>
        <w:rPr>
          <w:sz w:val="40"/>
          <w:lang w:val="en-US"/>
        </w:rPr>
        <w:t xml:space="preserve">(D) </w:t>
      </w:r>
      <w:r>
        <w:rPr>
          <w:sz w:val="40"/>
          <w:u w:val="single"/>
          <w:lang w:val="en-US"/>
        </w:rPr>
        <w:t>Pharmacokinetics</w:t>
      </w:r>
      <w:r>
        <w:rPr>
          <w:sz w:val="40"/>
          <w:lang w:val="en-US"/>
        </w:rPr>
        <w:t xml:space="preserve">:-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Nitrofurantoin</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is absorbed rapidly and completely from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the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GIT tract. </w:t>
      </w:r>
    </w:p>
    <w:p>
      <w:pPr>
        <w:keepNext w:val="off"/>
        <w:keepLines w:val="off"/>
        <w:pageBreakBefore w:val="off"/>
        <w:numPr>
          <w:ilvl w:val="0"/>
          <w:numId w:val="5"/>
        </w:numPr>
        <w:pBdr>
          <w:top w:val="nil" w:sz="4" w:space="0"/>
          <w:left w:val="nil" w:sz="4" w:space="0"/>
          <w:bottom w:val="nil" w:sz="4" w:space="0"/>
          <w:right w:val="nil" w:sz="4" w:space="0"/>
          <w:between w:val="nil" w:sz="4" w:space="0"/>
          <w:bar w:val="nil" w:sz="4" w:space="0"/>
        </w:pBdr>
        <w:shd w:val="nil" w:color="auto" w:fill="auto"/>
        <w:bidi w:val="off"/>
        <w:spacing w:before="40" w:after="0" w:line="240" w:lineRule="auto"/>
        <w:ind w:left="540" w:right="0" w:hanging="540"/>
        <w:contextualSpacing w:val="off"/>
        <w:jc w:val="left"/>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Antibacterial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concentrations are not achieved in plasma following ingestion of recommended doses because the drug is rapidly eliminated</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w:t>
      </w:r>
    </w:p>
    <w:p>
      <w:pPr>
        <w:keepNext w:val="off"/>
        <w:keepLines w:val="off"/>
        <w:pageBreakBefore w:val="off"/>
        <w:numPr>
          <w:ilvl w:val="0"/>
          <w:numId w:val="5"/>
        </w:numPr>
        <w:pBdr>
          <w:top w:val="nil" w:sz="4" w:space="0"/>
          <w:left w:val="nil" w:sz="4" w:space="0"/>
          <w:bottom w:val="nil" w:sz="4" w:space="0"/>
          <w:right w:val="nil" w:sz="4" w:space="0"/>
          <w:between w:val="nil" w:sz="4" w:space="0"/>
          <w:bar w:val="nil" w:sz="4" w:space="0"/>
        </w:pBdr>
        <w:shd w:val="nil" w:color="auto" w:fill="auto"/>
        <w:bidi w:val="off"/>
        <w:spacing w:before="40" w:after="0" w:line="240" w:lineRule="auto"/>
        <w:ind w:left="540" w:right="0" w:hanging="540"/>
        <w:contextualSpacing w:val="off"/>
        <w:jc w:val="left"/>
        <w:rPr>
          <w:b w:val="off"/>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It is not used for pregnant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women, individuals with impaired renal function, children younger than one month of age</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w:t>
      </w:r>
    </w:p>
    <w:p>
      <w:pPr>
        <w:keepNext w:val="off"/>
        <w:keepLines w:val="off"/>
        <w:pageBreakBefore w:val="off"/>
        <w:numPr>
          <w:ilvl w:val="0"/>
          <w:numId w:val="5"/>
        </w:numPr>
        <w:pBdr>
          <w:top w:val="nil" w:sz="4" w:space="0"/>
          <w:left w:val="nil" w:sz="4" w:space="0"/>
          <w:bottom w:val="nil" w:sz="4" w:space="0"/>
          <w:right w:val="nil" w:sz="4" w:space="0"/>
          <w:between w:val="nil" w:sz="4" w:space="0"/>
          <w:bar w:val="nil" w:sz="4" w:space="0"/>
        </w:pBdr>
        <w:shd w:val="nil" w:color="auto" w:fill="auto"/>
        <w:bidi w:val="off"/>
        <w:spacing w:before="80" w:after="0" w:line="240" w:lineRule="auto"/>
        <w:ind w:left="540" w:right="0" w:hanging="540"/>
        <w:contextualSpacing w:val="off"/>
        <w:jc w:val="left"/>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It is not recommended for the treatment of pyelonephritis or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prostatis.    </w:t>
      </w:r>
    </w:p>
    <w:p>
      <w:pPr>
        <w:keepNext w:val="off"/>
        <w:keepLines w:val="off"/>
        <w:pageBreakBefore w:val="off"/>
        <w:numPr>
          <w:ilvl w:val="0"/>
          <w:numId w:val="5"/>
        </w:numPr>
        <w:pBdr>
          <w:top w:val="nil" w:sz="4" w:space="0"/>
          <w:left w:val="nil" w:sz="4" w:space="0"/>
          <w:bottom w:val="nil" w:sz="4" w:space="0"/>
          <w:right w:val="nil" w:sz="4" w:space="0"/>
          <w:between w:val="nil" w:sz="4" w:space="0"/>
          <w:bar w:val="nil" w:sz="4" w:space="0"/>
        </w:pBdr>
        <w:shd w:val="nil" w:color="auto" w:fill="auto"/>
        <w:bidi w:val="off"/>
        <w:spacing w:before="80" w:after="0" w:line="240" w:lineRule="auto"/>
        <w:ind w:left="540" w:right="0" w:hanging="540"/>
        <w:contextualSpacing w:val="off"/>
        <w:jc w:val="left"/>
        <w:rPr>
          <w:b w:val="off"/>
          <w:sz w:val="40"/>
          <w:lang w:val="en-US"/>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w:t>
      </w:r>
    </w:p>
    <w:p>
      <w:pPr>
        <w:keepNext w:val="off"/>
        <w:keepLines w:val="off"/>
        <w:pageBreakBefore w:val="off"/>
        <w:numPr>
          <w:ilvl w:val="0"/>
          <w:numId w:val="6"/>
        </w:numPr>
        <w:pBdr>
          <w:top w:val="nil" w:sz="4" w:space="0"/>
          <w:left w:val="nil" w:sz="4" w:space="0"/>
          <w:bottom w:val="nil" w:sz="4" w:space="0"/>
          <w:right w:val="nil" w:sz="4" w:space="0"/>
          <w:between w:val="nil" w:sz="4" w:space="0"/>
          <w:bar w:val="nil" w:sz="4" w:space="0"/>
        </w:pBdr>
        <w:shd w:val="nil" w:color="auto" w:fill="auto"/>
        <w:bidi w:val="off"/>
        <w:spacing w:before="20" w:after="0" w:line="240" w:lineRule="auto"/>
        <w:ind w:left="540" w:right="0" w:hanging="540"/>
        <w:contextualSpacing w:val="off"/>
        <w:jc w:val="left"/>
        <w:rPr>
          <w:b w:val="off"/>
        </w:rPr>
      </w:pPr>
      <w:r>
        <w:rPr>
          <w:b w:val="off"/>
          <w:sz w:val="40"/>
          <w:lang w:val="en-US"/>
        </w:rPr>
        <w:t xml:space="preserve">(E) </w:t>
      </w:r>
      <w:r>
        <w:rPr>
          <w:b w:val="off"/>
          <w:sz w:val="40"/>
          <w:u w:val="single"/>
          <w:lang w:val="en-US"/>
        </w:rPr>
        <w:t>Adverse effects</w:t>
      </w:r>
      <w:r>
        <w:rPr>
          <w:b w:val="off"/>
          <w:sz w:val="40"/>
          <w:lang w:val="en-US"/>
        </w:rPr>
        <w:t>:-</w:t>
      </w:r>
      <w:r>
        <w:rPr>
          <w:b w:val="off"/>
          <w:sz w:val="40"/>
          <w:lang w:val="en-US"/>
        </w:rPr>
        <w:t xml:space="preserve">it </w:t>
      </w:r>
      <w:r>
        <w:rPr>
          <w:b w:val="off"/>
          <w:sz w:val="40"/>
          <w:lang w:val="en-US"/>
        </w:rPr>
        <w:t>includes,</w:t>
      </w:r>
      <w:r>
        <w:rPr>
          <w:rFonts w:ascii="Calibri"/>
          <w:b/>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nausea, vomiting, and diarrhea.</w:t>
      </w:r>
    </w:p>
    <w:p>
      <w:pPr>
        <w:keepNext w:val="off"/>
        <w:keepLines w:val="off"/>
        <w:pageBreakBefore w:val="off"/>
        <w:numPr>
          <w:ilvl w:val="0"/>
          <w:numId w:val="6"/>
        </w:numPr>
        <w:pBdr>
          <w:top w:val="nil" w:sz="4" w:space="0"/>
          <w:left w:val="nil" w:sz="4" w:space="0"/>
          <w:bottom w:val="nil" w:sz="4" w:space="0"/>
          <w:right w:val="nil" w:sz="4" w:space="0"/>
          <w:between w:val="nil" w:sz="4" w:space="0"/>
          <w:bar w:val="nil" w:sz="4" w:space="0"/>
        </w:pBdr>
        <w:shd w:val="nil" w:color="auto" w:fill="auto"/>
        <w:bidi w:val="off"/>
        <w:spacing w:before="20" w:after="0" w:line="240" w:lineRule="auto"/>
        <w:ind w:left="540" w:right="0" w:hanging="540"/>
        <w:contextualSpacing w:val="off"/>
        <w:jc w:val="left"/>
        <w:rPr>
          <w:b w:val="off"/>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Acute pneumonitis</w:t>
      </w:r>
    </w:p>
    <w:p>
      <w:pPr>
        <w:keepNext w:val="off"/>
        <w:keepLines w:val="off"/>
        <w:pageBreakBefore w:val="off"/>
        <w:numPr>
          <w:ilvl w:val="0"/>
          <w:numId w:val="6"/>
        </w:numPr>
        <w:pBdr>
          <w:top w:val="nil" w:sz="4" w:space="0"/>
          <w:left w:val="nil" w:sz="4" w:space="0"/>
          <w:bottom w:val="nil" w:sz="4" w:space="0"/>
          <w:right w:val="nil" w:sz="4" w:space="0"/>
          <w:between w:val="nil" w:sz="4" w:space="0"/>
          <w:bar w:val="nil" w:sz="4" w:space="0"/>
        </w:pBdr>
        <w:shd w:val="nil" w:color="auto" w:fill="auto"/>
        <w:bidi w:val="off"/>
        <w:spacing w:before="20" w:after="0" w:line="240" w:lineRule="auto"/>
        <w:ind w:left="540" w:right="0" w:hanging="540"/>
        <w:contextualSpacing w:val="off"/>
        <w:jc w:val="left"/>
        <w:rPr>
          <w:b w:val="off"/>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Neurological problems such as headache,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nystagmus</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and polyneuropathies with demyelination may occur.</w:t>
      </w:r>
    </w:p>
    <w:p>
      <w:pPr>
        <w:rPr>
          <w:b w:val="off"/>
          <w:sz w:val="40"/>
          <w:lang w:val="en-US"/>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.Hemolytic anemia</w:t>
      </w:r>
      <w:r>
        <w:rPr>
          <w:b w:val="off"/>
          <w:sz w:val="40"/>
          <w:lang w:val="en-US"/>
        </w:rPr>
        <w:t xml:space="preserve"> </w:t>
      </w:r>
      <w:r>
        <w:rPr>
          <w:b w:val="off"/>
          <w:sz w:val="40"/>
          <w:lang w:val="en-US"/>
        </w:rPr>
        <w:t>reported in small animals include gastrointestinal disturbances and hepatopathy.</w:t>
      </w:r>
    </w:p>
    <w:p>
      <w:pPr>
        <w:rPr>
          <w:strike w:val="off"/>
          <w:dstrike w:val="off"/>
          <w:sz w:val="40"/>
          <w:vertAlign w:val="baseline"/>
          <w:lang w:val="en-US"/>
        </w:rPr>
      </w:pPr>
      <w:r>
        <w:rPr>
          <w:sz w:val="40"/>
          <w:lang w:val="en-US"/>
        </w:rPr>
        <w:t xml:space="preserve">      </w:t>
      </w:r>
      <w:r>
        <w:rPr>
          <w:strike w:val="off"/>
          <w:dstrike w:val="off"/>
          <w:sz w:val="40"/>
          <w:vertAlign w:val="baseline"/>
          <w:lang w:val="en-US"/>
        </w:rPr>
        <w:t xml:space="preserve">    </w:t>
      </w:r>
    </w:p>
    <w:p>
      <w:pPr>
        <w:rPr>
          <w:sz w:val="40"/>
        </w:rPr>
      </w:pPr>
      <w:r>
        <w:rPr>
          <w:strike w:val="off"/>
          <w:dstrike w:val="off"/>
          <w:sz w:val="40"/>
          <w:vertAlign w:val="baseline"/>
          <w:lang w:val="en-US"/>
        </w:rPr>
        <w:t xml:space="preserve">                                                                  </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upperLetter"/>
      <w:isLgl w:val="off"/>
      <w:suff w:val="tab"/>
      <w:lvlText w:val="%1)"/>
      <w:lvlJc w:val="left"/>
      <w:pPr>
        <w:ind w:left="720" w:hanging="360"/>
      </w:pPr>
    </w:lvl>
    <w:lvl w:ilvl="1">
      <w:start w:val="1"/>
      <w:numFmt w:val="lowerLetter"/>
      <w:isLgl w:val="off"/>
      <w:suff w:val="tab"/>
      <w:lvlText w:val="%2."/>
      <w:lvlJc w:val="left"/>
      <w:pPr>
        <w:ind w:left="1440" w:hanging="360"/>
      </w:pPr>
    </w:lvl>
    <w:lvl w:ilvl="2">
      <w:start w:val="1"/>
      <w:numFmt w:val="lowerRoman"/>
      <w:isLgl w:val="off"/>
      <w:suff w:val="tab"/>
      <w:lvlText w:val="%3."/>
      <w:lvlJc w:val="right"/>
      <w:pPr>
        <w:ind w:left="2160" w:hanging="360"/>
      </w:pPr>
    </w:lvl>
    <w:lvl w:ilvl="3">
      <w:start w:val="1"/>
      <w:numFmt w:val="decimal"/>
      <w:isLgl w:val="off"/>
      <w:suff w:val="tab"/>
      <w:lvlText w:val="%4."/>
      <w:lvlJc w:val="left"/>
      <w:pPr>
        <w:ind w:left="2880" w:hanging="360"/>
      </w:pPr>
    </w:lvl>
    <w:lvl w:ilvl="4">
      <w:start w:val="1"/>
      <w:numFmt w:val="lowerLetter"/>
      <w:isLgl w:val="off"/>
      <w:suff w:val="tab"/>
      <w:lvlText w:val="%5."/>
      <w:lvlJc w:val="left"/>
      <w:pPr>
        <w:ind w:left="3600" w:hanging="360"/>
      </w:pPr>
    </w:lvl>
    <w:lvl w:ilvl="5">
      <w:start w:val="1"/>
      <w:numFmt w:val="lowerRoman"/>
      <w:isLgl w:val="off"/>
      <w:suff w:val="tab"/>
      <w:lvlText w:val="%6."/>
      <w:lvlJc w:val="right"/>
      <w:pPr>
        <w:ind w:left="4320" w:hanging="360"/>
      </w:pPr>
    </w:lvl>
    <w:lvl w:ilvl="6">
      <w:start w:val="1"/>
      <w:numFmt w:val="decimal"/>
      <w:isLgl w:val="off"/>
      <w:suff w:val="tab"/>
      <w:lvlText w:val="%7."/>
      <w:lvlJc w:val="left"/>
      <w:pPr>
        <w:ind w:left="5040" w:hanging="360"/>
      </w:pPr>
    </w:lvl>
    <w:lvl w:ilvl="7">
      <w:start w:val="1"/>
      <w:numFmt w:val="lowerLetter"/>
      <w:isLgl w:val="off"/>
      <w:suff w:val="tab"/>
      <w:lvlText w:val="%8."/>
      <w:lvlJc w:val="left"/>
      <w:pPr>
        <w:ind w:left="5760" w:hanging="360"/>
      </w:pPr>
    </w:lvl>
    <w:lvl w:ilvl="8">
      <w:start w:val="1"/>
      <w:numFmt w:val="lowerRoman"/>
      <w:isLgl w:val="off"/>
      <w:suff w:val="tab"/>
      <w:lvlText w:val="%9."/>
      <w:lvlJc w:val="right"/>
      <w:pPr>
        <w:ind w:left="6480" w:hanging="360"/>
      </w:pPr>
    </w:lvl>
  </w:abstractNum>
  <w:abstractNum w:abstractNumId="1">
    <w:lvl w:ilvl="0">
      <w:start w:val="1"/>
      <w:numFmt w:val="bullet"/>
      <w:isLgl w:val="off"/>
      <w:suff w:val="tab"/>
      <w:lvlText w:val="•"/>
      <w:lvlJc w:val="left"/>
      <w:rPr>
        <w:rFonts w:ascii="Arial"/>
        <w:b/>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abstractNum w:abstractNumId="2">
    <w:lvl w:ilvl="0">
      <w:start w:val="1"/>
      <w:numFmt w:val="bullet"/>
      <w:isLgl w:val="off"/>
      <w:suff w:val="tab"/>
      <w:lvlText w:val="•"/>
      <w:lvlJc w:val="left"/>
      <w:rPr>
        <w:rFonts w:ascii="Arial"/>
        <w:b/>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abstractNum w:abstractNumId="3">
    <w:lvl w:ilvl="0">
      <w:start w:val="1"/>
      <w:numFmt w:val="bullet"/>
      <w:isLgl w:val="off"/>
      <w:suff w:val="tab"/>
      <w:lvlText w:val="•"/>
      <w:lvlJc w:val="left"/>
      <w:rPr>
        <w:rFonts w:ascii="Arial"/>
        <w:b/>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abstractNum w:abstractNumId="4">
    <w:lvl w:ilvl="0">
      <w:start w:val="1"/>
      <w:numFmt w:val="bullet"/>
      <w:isLgl w:val="off"/>
      <w:suff w:val="tab"/>
      <w:lvlText w:val="•"/>
      <w:lvlJc w:val="left"/>
      <w:rPr>
        <w:rFonts w:ascii="Arial"/>
        <w:b/>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abstractNum w:abstractNumId="5">
    <w:lvl w:ilvl="0">
      <w:start w:val="1"/>
      <w:numFmt w:val="bullet"/>
      <w:isLgl w:val="off"/>
      <w:suff w:val="tab"/>
      <w:lvlText w:val="•"/>
      <w:lvlJc w:val="left"/>
      <w:rPr>
        <w:rFonts w:ascii="Arial"/>
        <w:b/>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