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8"/>
          <w:szCs w:val="28"/>
          <w:lang w:val="en-GB"/>
        </w:rPr>
      </w:pPr>
      <w:r>
        <w:rPr>
          <w:b/>
          <w:sz w:val="28"/>
          <w:szCs w:val="28"/>
          <w:lang w:val="en-GB"/>
        </w:rPr>
        <w:t xml:space="preserve">QUESTION </w:t>
      </w:r>
      <w:r>
        <w:rPr>
          <w:b/>
          <w:sz w:val="28"/>
          <w:szCs w:val="28"/>
          <w:lang w:val="en-US"/>
        </w:rPr>
        <w:t>1</w:t>
      </w:r>
    </w:p>
    <w:p>
      <w:pPr>
        <w:pStyle w:val="style0"/>
        <w:rPr>
          <w:sz w:val="28"/>
          <w:szCs w:val="28"/>
          <w:lang w:val="en-GB"/>
        </w:rPr>
      </w:pPr>
      <w:r>
        <w:rPr>
          <w:sz w:val="28"/>
          <w:szCs w:val="28"/>
          <w:lang w:val="en-GB"/>
        </w:rPr>
        <w:t>a</w:t>
      </w:r>
      <w:r>
        <w:rPr>
          <w:sz w:val="28"/>
          <w:szCs w:val="28"/>
          <w:lang w:val="en-GB"/>
        </w:rPr>
        <w:t>.</w:t>
      </w:r>
    </w:p>
    <w:tbl>
      <w:tblPr>
        <w:tblStyle w:val="style154"/>
        <w:tblW w:w="0" w:type="auto"/>
        <w:tblLook w:val="04A0" w:firstRow="1" w:lastRow="0" w:firstColumn="1" w:lastColumn="0" w:noHBand="0" w:noVBand="1"/>
      </w:tblPr>
      <w:tblGrid>
        <w:gridCol w:w="3294"/>
        <w:gridCol w:w="3294"/>
        <w:gridCol w:w="3294"/>
        <w:gridCol w:w="3294"/>
      </w:tblGrid>
      <w:tr>
        <w:trPr/>
        <w:tc>
          <w:tcPr>
            <w:tcW w:w="3294" w:type="dxa"/>
            <w:tcBorders/>
          </w:tcPr>
          <w:p>
            <w:pPr>
              <w:pStyle w:val="style0"/>
              <w:rPr>
                <w:sz w:val="28"/>
                <w:szCs w:val="28"/>
                <w:lang w:val="en-GB"/>
              </w:rPr>
            </w:pPr>
            <w:r>
              <w:rPr>
                <w:sz w:val="28"/>
                <w:szCs w:val="28"/>
                <w:lang w:val="en-GB"/>
              </w:rPr>
              <w:t xml:space="preserve">Crude type </w:t>
            </w:r>
          </w:p>
        </w:tc>
        <w:tc>
          <w:tcPr>
            <w:tcW w:w="3294" w:type="dxa"/>
            <w:tcBorders/>
          </w:tcPr>
          <w:p>
            <w:pPr>
              <w:pStyle w:val="style0"/>
              <w:rPr>
                <w:sz w:val="28"/>
                <w:szCs w:val="28"/>
                <w:lang w:val="en-GB"/>
              </w:rPr>
            </w:pPr>
            <w:r>
              <w:rPr>
                <w:sz w:val="28"/>
                <w:szCs w:val="28"/>
                <w:lang w:val="en-GB"/>
              </w:rPr>
              <w:t>Specific gravity</w:t>
            </w:r>
          </w:p>
        </w:tc>
        <w:tc>
          <w:tcPr>
            <w:tcW w:w="3294" w:type="dxa"/>
            <w:tcBorders/>
          </w:tcPr>
          <w:p>
            <w:pPr>
              <w:pStyle w:val="style0"/>
              <w:rPr>
                <w:sz w:val="28"/>
                <w:szCs w:val="28"/>
                <w:lang w:val="en-GB"/>
              </w:rPr>
            </w:pPr>
            <w:r>
              <w:rPr>
                <w:sz w:val="28"/>
                <w:szCs w:val="28"/>
                <w:lang w:val="en-GB"/>
              </w:rPr>
              <w:t>API</w:t>
            </w:r>
            <w:r>
              <w:rPr>
                <w:sz w:val="28"/>
                <w:szCs w:val="28"/>
                <w:vertAlign w:val="subscript"/>
                <w:lang w:val="en-GB"/>
              </w:rPr>
              <w:t>g</w:t>
            </w:r>
          </w:p>
        </w:tc>
        <w:tc>
          <w:tcPr>
            <w:tcW w:w="3294" w:type="dxa"/>
            <w:tcBorders/>
          </w:tcPr>
          <w:p>
            <w:pPr>
              <w:pStyle w:val="style0"/>
              <w:rPr>
                <w:sz w:val="28"/>
                <w:szCs w:val="28"/>
                <w:lang w:val="en-GB"/>
              </w:rPr>
            </w:pPr>
            <w:r>
              <w:rPr>
                <w:sz w:val="28"/>
                <w:szCs w:val="28"/>
                <w:lang w:val="en-GB"/>
              </w:rPr>
              <w:t>% sulphur</w:t>
            </w:r>
          </w:p>
        </w:tc>
      </w:tr>
      <w:tr>
        <w:tblPrEx/>
        <w:trPr/>
        <w:tc>
          <w:tcPr>
            <w:tcW w:w="3294" w:type="dxa"/>
            <w:tcBorders/>
          </w:tcPr>
          <w:p>
            <w:pPr>
              <w:pStyle w:val="style0"/>
              <w:rPr>
                <w:sz w:val="28"/>
                <w:szCs w:val="28"/>
                <w:lang w:val="en-GB"/>
              </w:rPr>
            </w:pPr>
            <w:r>
              <w:rPr>
                <w:sz w:val="28"/>
                <w:szCs w:val="28"/>
                <w:lang w:val="en-GB"/>
              </w:rPr>
              <w:t>Bonny light</w:t>
            </w:r>
          </w:p>
        </w:tc>
        <w:tc>
          <w:tcPr>
            <w:tcW w:w="3294" w:type="dxa"/>
            <w:tcBorders/>
          </w:tcPr>
          <w:p>
            <w:pPr>
              <w:pStyle w:val="style0"/>
              <w:rPr>
                <w:sz w:val="28"/>
                <w:szCs w:val="28"/>
                <w:lang w:val="en-GB"/>
              </w:rPr>
            </w:pPr>
            <w:r>
              <w:rPr>
                <w:sz w:val="28"/>
                <w:szCs w:val="28"/>
                <w:lang w:val="en-GB"/>
              </w:rPr>
              <w:t>0.8398</w:t>
            </w:r>
          </w:p>
        </w:tc>
        <w:tc>
          <w:tcPr>
            <w:tcW w:w="3294" w:type="dxa"/>
            <w:tcBorders/>
          </w:tcPr>
          <w:p>
            <w:pPr>
              <w:pStyle w:val="style0"/>
              <w:rPr>
                <w:sz w:val="28"/>
                <w:szCs w:val="28"/>
                <w:lang w:val="en-GB"/>
              </w:rPr>
            </w:pPr>
            <w:r>
              <w:rPr>
                <w:sz w:val="28"/>
                <w:szCs w:val="28"/>
                <w:lang w:val="en-GB"/>
              </w:rPr>
              <w:t>37</w:t>
            </w:r>
            <w:r>
              <w:rPr>
                <w:rFonts w:cs="Calibri"/>
                <w:sz w:val="28"/>
                <w:szCs w:val="28"/>
                <w:lang w:val="en-GB"/>
              </w:rPr>
              <w:t>°</w:t>
            </w:r>
          </w:p>
        </w:tc>
        <w:tc>
          <w:tcPr>
            <w:tcW w:w="3294" w:type="dxa"/>
            <w:tcBorders/>
          </w:tcPr>
          <w:p>
            <w:pPr>
              <w:pStyle w:val="style0"/>
              <w:rPr>
                <w:sz w:val="28"/>
                <w:szCs w:val="28"/>
                <w:lang w:val="en-GB"/>
              </w:rPr>
            </w:pPr>
            <w:r>
              <w:rPr>
                <w:sz w:val="28"/>
                <w:szCs w:val="28"/>
                <w:lang w:val="en-GB"/>
              </w:rPr>
              <w:t>0.14%</w:t>
            </w:r>
          </w:p>
        </w:tc>
      </w:tr>
      <w:tr>
        <w:tblPrEx/>
        <w:trPr/>
        <w:tc>
          <w:tcPr>
            <w:tcW w:w="3294" w:type="dxa"/>
            <w:tcBorders/>
          </w:tcPr>
          <w:p>
            <w:pPr>
              <w:pStyle w:val="style0"/>
              <w:rPr>
                <w:sz w:val="28"/>
                <w:szCs w:val="28"/>
                <w:lang w:val="en-GB"/>
              </w:rPr>
            </w:pPr>
            <w:r>
              <w:rPr>
                <w:sz w:val="28"/>
                <w:szCs w:val="28"/>
                <w:lang w:val="en-GB"/>
              </w:rPr>
              <w:t>Brass river</w:t>
            </w:r>
          </w:p>
        </w:tc>
        <w:tc>
          <w:tcPr>
            <w:tcW w:w="3294" w:type="dxa"/>
            <w:tcBorders/>
          </w:tcPr>
          <w:p>
            <w:pPr>
              <w:pStyle w:val="style0"/>
              <w:rPr>
                <w:sz w:val="28"/>
                <w:szCs w:val="28"/>
                <w:lang w:val="en-GB"/>
              </w:rPr>
            </w:pPr>
            <w:r>
              <w:rPr>
                <w:sz w:val="28"/>
                <w:szCs w:val="28"/>
                <w:lang w:val="en-GB"/>
              </w:rPr>
              <w:t>0.8063</w:t>
            </w:r>
          </w:p>
        </w:tc>
        <w:tc>
          <w:tcPr>
            <w:tcW w:w="3294" w:type="dxa"/>
            <w:tcBorders/>
          </w:tcPr>
          <w:p>
            <w:pPr>
              <w:pStyle w:val="style0"/>
              <w:rPr>
                <w:sz w:val="28"/>
                <w:szCs w:val="28"/>
                <w:lang w:val="en-GB"/>
              </w:rPr>
            </w:pPr>
            <w:r>
              <w:rPr>
                <w:sz w:val="28"/>
                <w:szCs w:val="28"/>
                <w:lang w:val="en-GB"/>
              </w:rPr>
              <w:t>44</w:t>
            </w:r>
            <w:r>
              <w:rPr>
                <w:rFonts w:cs="Calibri"/>
                <w:sz w:val="28"/>
                <w:szCs w:val="28"/>
                <w:lang w:val="en-GB"/>
              </w:rPr>
              <w:t>°</w:t>
            </w:r>
          </w:p>
        </w:tc>
        <w:tc>
          <w:tcPr>
            <w:tcW w:w="3294" w:type="dxa"/>
            <w:tcBorders/>
          </w:tcPr>
          <w:p>
            <w:pPr>
              <w:pStyle w:val="style0"/>
              <w:rPr>
                <w:sz w:val="28"/>
                <w:szCs w:val="28"/>
                <w:lang w:val="en-GB"/>
              </w:rPr>
            </w:pPr>
            <w:r>
              <w:rPr>
                <w:sz w:val="28"/>
                <w:szCs w:val="28"/>
                <w:lang w:val="en-GB"/>
              </w:rPr>
              <w:t>0.07%</w:t>
            </w:r>
          </w:p>
        </w:tc>
      </w:tr>
      <w:tr>
        <w:tblPrEx/>
        <w:trPr/>
        <w:tc>
          <w:tcPr>
            <w:tcW w:w="3294" w:type="dxa"/>
            <w:tcBorders/>
          </w:tcPr>
          <w:p>
            <w:pPr>
              <w:pStyle w:val="style0"/>
              <w:rPr>
                <w:sz w:val="28"/>
                <w:szCs w:val="28"/>
                <w:lang w:val="en-GB"/>
              </w:rPr>
            </w:pPr>
            <w:r>
              <w:rPr>
                <w:sz w:val="28"/>
                <w:szCs w:val="28"/>
                <w:lang w:val="en-GB"/>
              </w:rPr>
              <w:t>Bonny medium</w:t>
            </w:r>
          </w:p>
        </w:tc>
        <w:tc>
          <w:tcPr>
            <w:tcW w:w="3294" w:type="dxa"/>
            <w:tcBorders/>
          </w:tcPr>
          <w:p>
            <w:pPr>
              <w:pStyle w:val="style0"/>
              <w:rPr>
                <w:sz w:val="28"/>
                <w:szCs w:val="28"/>
                <w:lang w:val="en-GB"/>
              </w:rPr>
            </w:pPr>
            <w:r>
              <w:rPr>
                <w:sz w:val="28"/>
                <w:szCs w:val="28"/>
                <w:lang w:val="en-GB"/>
              </w:rPr>
              <w:t>0.8934</w:t>
            </w:r>
          </w:p>
        </w:tc>
        <w:tc>
          <w:tcPr>
            <w:tcW w:w="3294" w:type="dxa"/>
            <w:tcBorders/>
          </w:tcPr>
          <w:p>
            <w:pPr>
              <w:pStyle w:val="style0"/>
              <w:rPr>
                <w:sz w:val="28"/>
                <w:szCs w:val="28"/>
                <w:lang w:val="en-GB"/>
              </w:rPr>
            </w:pPr>
            <w:r>
              <w:rPr>
                <w:sz w:val="28"/>
                <w:szCs w:val="28"/>
                <w:lang w:val="en-GB"/>
              </w:rPr>
              <w:t>26</w:t>
            </w:r>
            <w:r>
              <w:rPr>
                <w:rFonts w:cs="Calibri"/>
                <w:sz w:val="28"/>
                <w:szCs w:val="28"/>
                <w:lang w:val="en-GB"/>
              </w:rPr>
              <w:t>°</w:t>
            </w:r>
          </w:p>
        </w:tc>
        <w:tc>
          <w:tcPr>
            <w:tcW w:w="3294" w:type="dxa"/>
            <w:tcBorders/>
          </w:tcPr>
          <w:p>
            <w:pPr>
              <w:pStyle w:val="style0"/>
              <w:rPr>
                <w:sz w:val="28"/>
                <w:szCs w:val="28"/>
                <w:lang w:val="en-GB"/>
              </w:rPr>
            </w:pPr>
            <w:r>
              <w:rPr>
                <w:sz w:val="28"/>
                <w:szCs w:val="28"/>
                <w:lang w:val="en-GB"/>
              </w:rPr>
              <w:t>0.28%</w:t>
            </w:r>
          </w:p>
        </w:tc>
      </w:tr>
    </w:tbl>
    <w:p>
      <w:pPr>
        <w:pStyle w:val="style0"/>
        <w:rPr>
          <w:sz w:val="28"/>
          <w:szCs w:val="28"/>
          <w:lang w:val="en-GB"/>
        </w:rPr>
      </w:pPr>
    </w:p>
    <w:p>
      <w:pPr>
        <w:pStyle w:val="style0"/>
        <w:rPr>
          <w:sz w:val="28"/>
          <w:szCs w:val="28"/>
          <w:lang w:val="en-GB"/>
        </w:rPr>
      </w:pPr>
      <w:r>
        <w:rPr>
          <w:sz w:val="28"/>
          <w:szCs w:val="28"/>
          <w:lang w:val="en-GB"/>
        </w:rPr>
        <w:t xml:space="preserve">b. </w:t>
      </w:r>
      <w:r>
        <w:rPr>
          <w:sz w:val="28"/>
          <w:szCs w:val="28"/>
          <w:lang w:val="en-GB"/>
        </w:rPr>
        <w:t xml:space="preserve">1. For planning the most effective utilization of a crude oil in the refining system </w:t>
      </w:r>
    </w:p>
    <w:p>
      <w:pPr>
        <w:pStyle w:val="style0"/>
        <w:rPr>
          <w:sz w:val="28"/>
          <w:szCs w:val="28"/>
          <w:lang w:val="en-GB"/>
        </w:rPr>
      </w:pPr>
      <w:r>
        <w:rPr>
          <w:sz w:val="28"/>
          <w:szCs w:val="28"/>
          <w:lang w:val="en-GB"/>
        </w:rPr>
        <w:t xml:space="preserve">     2. </w:t>
      </w:r>
      <w:r>
        <w:rPr>
          <w:sz w:val="28"/>
          <w:szCs w:val="28"/>
          <w:lang w:val="en-GB"/>
        </w:rPr>
        <w:t>For</w:t>
      </w:r>
      <w:r>
        <w:rPr>
          <w:sz w:val="28"/>
          <w:szCs w:val="28"/>
          <w:lang w:val="en-GB"/>
        </w:rPr>
        <w:t xml:space="preserve"> assessing its potential sales value in world markets</w:t>
      </w:r>
    </w:p>
    <w:p>
      <w:pPr>
        <w:pStyle w:val="style0"/>
        <w:rPr>
          <w:sz w:val="28"/>
          <w:szCs w:val="28"/>
          <w:lang w:val="en-GB"/>
        </w:rPr>
      </w:pPr>
      <w:r>
        <w:rPr>
          <w:sz w:val="28"/>
          <w:szCs w:val="28"/>
          <w:lang w:val="en-GB"/>
        </w:rPr>
        <w:t xml:space="preserve">     3. To provide data for forward planning studies and future plant construction</w:t>
      </w:r>
    </w:p>
    <w:p>
      <w:pPr>
        <w:pStyle w:val="style0"/>
        <w:rPr>
          <w:sz w:val="28"/>
          <w:szCs w:val="28"/>
          <w:lang w:val="en-GB"/>
        </w:rPr>
      </w:pPr>
      <w:r>
        <w:rPr>
          <w:sz w:val="28"/>
          <w:szCs w:val="28"/>
          <w:lang w:val="en-GB"/>
        </w:rPr>
        <w:t xml:space="preserve">     4. </w:t>
      </w:r>
      <w:r>
        <w:rPr>
          <w:sz w:val="28"/>
          <w:szCs w:val="28"/>
          <w:lang w:val="en-GB"/>
        </w:rPr>
        <w:t>For</w:t>
      </w:r>
      <w:r>
        <w:rPr>
          <w:sz w:val="28"/>
          <w:szCs w:val="28"/>
          <w:lang w:val="en-GB"/>
        </w:rPr>
        <w:t xml:space="preserve"> assessing the suitability of a crude oil for the manufacture of specialty products</w:t>
      </w:r>
    </w:p>
    <w:p>
      <w:pPr>
        <w:pStyle w:val="style0"/>
        <w:rPr>
          <w:sz w:val="28"/>
          <w:szCs w:val="28"/>
          <w:lang w:val="en-GB"/>
        </w:rPr>
      </w:pPr>
      <w:r>
        <w:rPr>
          <w:sz w:val="28"/>
          <w:szCs w:val="28"/>
          <w:lang w:val="en-GB"/>
        </w:rPr>
        <w:t xml:space="preserve">c. </w:t>
      </w:r>
      <w:r>
        <w:rPr>
          <w:sz w:val="28"/>
          <w:szCs w:val="28"/>
          <w:lang w:val="en-GB"/>
        </w:rPr>
        <w:t>i</w:t>
      </w:r>
      <w:r>
        <w:rPr>
          <w:sz w:val="28"/>
          <w:szCs w:val="28"/>
          <w:lang w:val="en-GB"/>
        </w:rPr>
        <w:t xml:space="preserve">. Physical property </w:t>
      </w:r>
      <w:r>
        <w:rPr>
          <w:sz w:val="28"/>
          <w:szCs w:val="28"/>
          <w:lang w:val="en-GB"/>
        </w:rPr>
        <w:t>measurements ;</w:t>
      </w:r>
      <w:r>
        <w:rPr>
          <w:sz w:val="28"/>
          <w:szCs w:val="28"/>
          <w:lang w:val="en-GB"/>
        </w:rPr>
        <w:t xml:space="preserve"> density or specific gravity, viscosity </w:t>
      </w:r>
      <w:r>
        <w:rPr>
          <w:sz w:val="28"/>
          <w:szCs w:val="28"/>
          <w:lang w:val="en-GB"/>
        </w:rPr>
        <w:t>e.t.c</w:t>
      </w:r>
    </w:p>
    <w:p>
      <w:pPr>
        <w:pStyle w:val="style0"/>
        <w:rPr>
          <w:sz w:val="28"/>
          <w:szCs w:val="28"/>
          <w:lang w:val="en-GB"/>
        </w:rPr>
      </w:pPr>
      <w:r>
        <w:rPr>
          <w:sz w:val="28"/>
          <w:szCs w:val="28"/>
          <w:lang w:val="en-GB"/>
        </w:rPr>
        <w:t xml:space="preserve">   ii. Chemical </w:t>
      </w:r>
      <w:r>
        <w:rPr>
          <w:sz w:val="28"/>
          <w:szCs w:val="28"/>
          <w:lang w:val="en-GB"/>
        </w:rPr>
        <w:t>analysis ;</w:t>
      </w:r>
      <w:r>
        <w:rPr>
          <w:sz w:val="28"/>
          <w:szCs w:val="28"/>
          <w:lang w:val="en-GB"/>
        </w:rPr>
        <w:t xml:space="preserve"> sulphur ,nitrogen, trace metals </w:t>
      </w:r>
    </w:p>
    <w:p>
      <w:pPr>
        <w:pStyle w:val="style0"/>
        <w:rPr>
          <w:sz w:val="28"/>
          <w:szCs w:val="28"/>
          <w:lang w:val="en-GB"/>
        </w:rPr>
      </w:pPr>
      <w:r>
        <w:rPr>
          <w:sz w:val="28"/>
          <w:szCs w:val="28"/>
          <w:lang w:val="en-GB"/>
        </w:rPr>
        <w:t xml:space="preserve">   iii. Composition </w:t>
      </w:r>
      <w:r>
        <w:rPr>
          <w:sz w:val="28"/>
          <w:szCs w:val="28"/>
          <w:lang w:val="en-GB"/>
        </w:rPr>
        <w:t>data ;</w:t>
      </w:r>
      <w:r>
        <w:rPr>
          <w:sz w:val="28"/>
          <w:szCs w:val="28"/>
          <w:lang w:val="en-GB"/>
        </w:rPr>
        <w:t xml:space="preserve"> individual saturates to C</w:t>
      </w:r>
      <w:r>
        <w:rPr>
          <w:sz w:val="28"/>
          <w:szCs w:val="28"/>
          <w:vertAlign w:val="subscript"/>
          <w:lang w:val="en-GB"/>
        </w:rPr>
        <w:t xml:space="preserve">3 </w:t>
      </w:r>
      <w:r>
        <w:rPr>
          <w:sz w:val="28"/>
          <w:szCs w:val="28"/>
          <w:lang w:val="en-GB"/>
        </w:rPr>
        <w:t xml:space="preserve">like methane, ethane </w:t>
      </w:r>
      <w:r>
        <w:rPr>
          <w:sz w:val="28"/>
          <w:szCs w:val="28"/>
          <w:lang w:val="en-GB"/>
        </w:rPr>
        <w:t>e.t.c</w:t>
      </w:r>
      <w:r>
        <w:rPr>
          <w:sz w:val="28"/>
          <w:szCs w:val="28"/>
          <w:lang w:val="en-GB"/>
        </w:rPr>
        <w:t xml:space="preserve"> aromatics to C</w:t>
      </w:r>
      <w:r>
        <w:rPr>
          <w:sz w:val="28"/>
          <w:szCs w:val="28"/>
          <w:vertAlign w:val="subscript"/>
          <w:lang w:val="en-GB"/>
        </w:rPr>
        <w:t>10</w:t>
      </w:r>
      <w:r>
        <w:rPr>
          <w:sz w:val="28"/>
          <w:szCs w:val="28"/>
          <w:lang w:val="en-GB"/>
        </w:rPr>
        <w:t xml:space="preserve">, n- </w:t>
      </w:r>
      <w:r>
        <w:rPr>
          <w:sz w:val="28"/>
          <w:szCs w:val="28"/>
          <w:lang w:val="en-GB"/>
        </w:rPr>
        <w:t>paraffins</w:t>
      </w:r>
      <w:r>
        <w:rPr>
          <w:sz w:val="28"/>
          <w:szCs w:val="28"/>
          <w:lang w:val="en-GB"/>
        </w:rPr>
        <w:t xml:space="preserve"> to C</w:t>
      </w:r>
      <w:r>
        <w:rPr>
          <w:sz w:val="28"/>
          <w:szCs w:val="28"/>
          <w:vertAlign w:val="subscript"/>
          <w:lang w:val="en-GB"/>
        </w:rPr>
        <w:t>30</w:t>
      </w:r>
      <w:r>
        <w:rPr>
          <w:sz w:val="28"/>
          <w:szCs w:val="28"/>
          <w:lang w:val="en-GB"/>
        </w:rPr>
        <w:t>or above</w:t>
      </w:r>
    </w:p>
    <w:p>
      <w:pPr>
        <w:pStyle w:val="style0"/>
        <w:rPr>
          <w:sz w:val="28"/>
          <w:szCs w:val="28"/>
          <w:lang w:val="en-GB"/>
        </w:rPr>
      </w:pPr>
      <w:r>
        <w:rPr>
          <w:sz w:val="28"/>
          <w:szCs w:val="28"/>
          <w:lang w:val="en-GB"/>
        </w:rPr>
        <w:t xml:space="preserve">d. </w:t>
      </w:r>
      <w:r>
        <w:rPr>
          <w:sz w:val="28"/>
          <w:szCs w:val="28"/>
          <w:lang w:val="en-GB"/>
        </w:rPr>
        <w:t>i</w:t>
      </w:r>
      <w:r>
        <w:rPr>
          <w:sz w:val="28"/>
          <w:szCs w:val="28"/>
          <w:lang w:val="en-GB"/>
        </w:rPr>
        <w:t>. gravity</w:t>
      </w:r>
    </w:p>
    <w:p>
      <w:pPr>
        <w:pStyle w:val="style0"/>
        <w:rPr>
          <w:sz w:val="28"/>
          <w:szCs w:val="28"/>
          <w:lang w:val="en-GB"/>
        </w:rPr>
      </w:pPr>
      <w:r>
        <w:rPr>
          <w:sz w:val="28"/>
          <w:szCs w:val="28"/>
          <w:lang w:val="en-GB"/>
        </w:rPr>
        <w:t xml:space="preserve">   ii. Sulphur content</w:t>
      </w:r>
    </w:p>
    <w:p>
      <w:pPr>
        <w:pStyle w:val="style0"/>
        <w:rPr>
          <w:sz w:val="28"/>
          <w:szCs w:val="28"/>
          <w:lang w:val="en-GB"/>
        </w:rPr>
      </w:pPr>
      <w:r>
        <w:rPr>
          <w:sz w:val="28"/>
          <w:szCs w:val="28"/>
          <w:lang w:val="en-GB"/>
        </w:rPr>
        <w:t xml:space="preserve">  iii. Wax and pour point </w:t>
      </w:r>
    </w:p>
    <w:p>
      <w:pPr>
        <w:pStyle w:val="style0"/>
        <w:rPr>
          <w:sz w:val="28"/>
          <w:szCs w:val="28"/>
          <w:lang w:val="en-GB"/>
        </w:rPr>
      </w:pPr>
      <w:r>
        <w:rPr>
          <w:sz w:val="28"/>
          <w:szCs w:val="28"/>
          <w:lang w:val="en-GB"/>
        </w:rPr>
        <w:t xml:space="preserve">e. Under the condition of temperature and pressure occurring </w:t>
      </w:r>
      <w:r>
        <w:rPr>
          <w:sz w:val="28"/>
          <w:szCs w:val="28"/>
          <w:lang w:val="en-GB"/>
        </w:rPr>
        <w:t>underground ,reservoir</w:t>
      </w:r>
      <w:r>
        <w:rPr>
          <w:sz w:val="28"/>
          <w:szCs w:val="28"/>
          <w:lang w:val="en-GB"/>
        </w:rPr>
        <w:t xml:space="preserve"> contains oil paraffin wax in suspension or solution in the crude. As oil flows from the reservoir to the surface there is reduction of temperature, pressure, and the amount of dissolved gas contained in the oil. </w:t>
      </w:r>
      <w:r>
        <w:rPr>
          <w:sz w:val="28"/>
          <w:szCs w:val="28"/>
          <w:lang w:val="en-GB"/>
        </w:rPr>
        <w:t>Reduction of temperature of gas outbreak have</w:t>
      </w:r>
      <w:r>
        <w:rPr>
          <w:sz w:val="28"/>
          <w:szCs w:val="28"/>
          <w:lang w:val="en-GB"/>
        </w:rPr>
        <w:t xml:space="preserve"> shown to be factors causing reduced solubility of the paraffin crude. Hence, as the oil flows up the well tubing, it cools and at some point, up the tubing the tubing wall temperature is equal to the wax saturation. Temperature of the </w:t>
      </w:r>
      <w:r>
        <w:rPr>
          <w:sz w:val="28"/>
          <w:szCs w:val="28"/>
          <w:lang w:val="en-GB"/>
        </w:rPr>
        <w:t>oil ,at</w:t>
      </w:r>
      <w:r>
        <w:rPr>
          <w:sz w:val="28"/>
          <w:szCs w:val="28"/>
          <w:lang w:val="en-GB"/>
        </w:rPr>
        <w:t xml:space="preserve"> this point in the system the temperature falls below the oil cloud point and deposition of wax begins.</w:t>
      </w:r>
    </w:p>
    <w:p>
      <w:pPr>
        <w:pStyle w:val="style0"/>
        <w:rPr>
          <w:sz w:val="28"/>
          <w:szCs w:val="28"/>
          <w:lang w:val="en-GB"/>
        </w:rPr>
      </w:pPr>
    </w:p>
    <w:p>
      <w:pPr>
        <w:pStyle w:val="style0"/>
        <w:rPr>
          <w:b/>
          <w:sz w:val="28"/>
          <w:szCs w:val="28"/>
          <w:lang w:val="en-GB"/>
        </w:rPr>
      </w:pPr>
      <w:r>
        <w:rPr>
          <w:b/>
          <w:sz w:val="28"/>
          <w:szCs w:val="28"/>
          <w:lang w:val="en-GB"/>
        </w:rPr>
        <w:t>QUESTION 2</w:t>
      </w:r>
    </w:p>
    <w:p>
      <w:pPr>
        <w:pStyle w:val="style179"/>
        <w:numPr>
          <w:ilvl w:val="0"/>
          <w:numId w:val="1"/>
        </w:numPr>
        <w:rPr>
          <w:sz w:val="28"/>
          <w:szCs w:val="28"/>
          <w:lang w:val="en-GB"/>
        </w:rPr>
      </w:pPr>
      <w:r>
        <w:rPr>
          <w:sz w:val="28"/>
          <w:szCs w:val="28"/>
          <w:lang w:val="en-GB"/>
        </w:rPr>
        <w:t>(</w:t>
      </w:r>
      <w:r>
        <w:rPr>
          <w:sz w:val="28"/>
          <w:szCs w:val="28"/>
          <w:lang w:val="en-GB"/>
        </w:rPr>
        <w:t>i</w:t>
      </w:r>
      <w:r>
        <w:rPr>
          <w:sz w:val="28"/>
          <w:szCs w:val="28"/>
          <w:lang w:val="en-GB"/>
        </w:rPr>
        <w:t>) Oil field is a natural hydrocarbon accumulation in the pores of the underground porous rocks which are called Reservoir rocks or Reservoirs</w:t>
      </w:r>
    </w:p>
    <w:p>
      <w:pPr>
        <w:pStyle w:val="style179"/>
        <w:rPr>
          <w:sz w:val="28"/>
          <w:szCs w:val="28"/>
          <w:lang w:val="en-GB"/>
        </w:rPr>
      </w:pPr>
      <w:r>
        <w:rPr>
          <w:sz w:val="28"/>
          <w:szCs w:val="28"/>
          <w:lang w:val="en-GB"/>
        </w:rPr>
        <w:t>(ii) Displacement efficiency is the production of the oil that remains in part of the reservoir already swept by displacing fluid</w:t>
      </w:r>
    </w:p>
    <w:p>
      <w:pPr>
        <w:pStyle w:val="style179"/>
        <w:rPr>
          <w:sz w:val="28"/>
          <w:szCs w:val="28"/>
          <w:lang w:val="en-GB"/>
        </w:rPr>
      </w:pPr>
      <w:r>
        <w:rPr>
          <w:sz w:val="28"/>
          <w:szCs w:val="28"/>
          <w:lang w:val="en-GB"/>
        </w:rPr>
        <w:t>(iii) Sweep efficiency is the production of the oil that remains in the part of the reservoir not swept by the displacing fluid.</w:t>
      </w:r>
    </w:p>
    <w:p>
      <w:pPr>
        <w:pStyle w:val="style179"/>
        <w:numPr>
          <w:ilvl w:val="0"/>
          <w:numId w:val="1"/>
        </w:numPr>
        <w:rPr>
          <w:sz w:val="28"/>
          <w:szCs w:val="28"/>
          <w:lang w:val="en-GB"/>
        </w:rPr>
      </w:pPr>
      <w:r>
        <w:rPr>
          <w:sz w:val="28"/>
          <w:szCs w:val="28"/>
          <w:lang w:val="en-GB"/>
        </w:rPr>
        <w:t xml:space="preserve">Hydrocarbons are recovered from the field by means of wells drilled from the surface on to the reservoir .The initial pressure in the fluids occupying the pore space </w:t>
      </w:r>
      <w:r>
        <w:rPr>
          <w:sz w:val="28"/>
          <w:szCs w:val="28"/>
          <w:lang w:val="en-GB"/>
        </w:rPr>
        <w:t>in a reservoir is very often higher than the hydrostatic pressure. By opening a well, therefore, the pressure at its bottom is reduced, thus driving Reservoir fluids towards the well. If the natural pressure drops obtained by opening the well is too small it is possible to operate a pumping system which further decrease which further decreases the pressure.</w:t>
      </w:r>
    </w:p>
    <w:p>
      <w:pPr>
        <w:pStyle w:val="style179"/>
        <w:numPr>
          <w:ilvl w:val="0"/>
          <w:numId w:val="1"/>
        </w:numPr>
        <w:rPr>
          <w:sz w:val="28"/>
          <w:szCs w:val="28"/>
          <w:lang w:val="en-GB"/>
        </w:rPr>
      </w:pPr>
      <w:r>
        <w:rPr>
          <w:sz w:val="28"/>
          <w:szCs w:val="28"/>
          <w:lang w:val="en-GB"/>
        </w:rPr>
        <w:t>(</w:t>
      </w:r>
      <w:r>
        <w:rPr>
          <w:sz w:val="28"/>
          <w:szCs w:val="28"/>
          <w:lang w:val="en-GB"/>
        </w:rPr>
        <w:t>i</w:t>
      </w:r>
      <w:r>
        <w:rPr>
          <w:sz w:val="28"/>
          <w:szCs w:val="28"/>
          <w:lang w:val="en-GB"/>
        </w:rPr>
        <w:t>) To maintain the pressure in the reservoir</w:t>
      </w:r>
    </w:p>
    <w:p>
      <w:pPr>
        <w:pStyle w:val="style179"/>
        <w:rPr>
          <w:sz w:val="28"/>
          <w:szCs w:val="28"/>
          <w:lang w:val="en-GB"/>
        </w:rPr>
      </w:pPr>
      <w:r>
        <w:rPr>
          <w:sz w:val="28"/>
          <w:szCs w:val="28"/>
          <w:lang w:val="en-GB"/>
        </w:rPr>
        <w:t>(ii) To push forward the oil contained in the reservoir towards the producing wells</w:t>
      </w:r>
    </w:p>
    <w:sectPr>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A669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Words>423</Words>
  <Pages>1</Pages>
  <Characters>2118</Characters>
  <Application>WPS Office</Application>
  <DocSecurity>0</DocSecurity>
  <Paragraphs>42</Paragraphs>
  <ScaleCrop>false</ScaleCrop>
  <LinksUpToDate>false</LinksUpToDate>
  <CharactersWithSpaces>2535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2020-04-07T19:09:00Z</dcterms:created>
  <dc:creator>Windows User</dc:creator>
  <lastModifiedBy>TECNO LA6</lastModifiedBy>
  <dcterms:modified xsi:type="dcterms:W3CDTF">2020-04-07T21:05:17Z</dcterms:modified>
  <revision>3</revision>
</coreProperties>
</file>

<file path=docProps/custom.xml><?xml version="1.0" encoding="utf-8"?>
<Properties xmlns="http://schemas.openxmlformats.org/officeDocument/2006/custom-properties" xmlns:vt="http://schemas.openxmlformats.org/officeDocument/2006/docPropsVTypes"/>
</file>