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  <w:t xml:space="preserve">ODOMENE JUSTICE</w:t>
      </w:r>
    </w:p>
    <w:p>
      <w:p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  <w:t>17/SCI03/006</w:t>
      </w:r>
    </w:p>
    <w:p>
      <w:p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  <w:t xml:space="preserve">BCH314 IMMUNOLOGY &amp; IMMUNOCHEMISTRY</w:t>
      </w:r>
    </w:p>
    <w:p>
      <w:p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numPr>
          <w:ilvl w:val="0"/>
          <w:numId w:val="2"/>
        </w:num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  <w:t xml:space="preserve">Discuss the genetic basis of antibody diversirty.</w:t>
      </w:r>
    </w:p>
    <w:p>
      <w:pPr>
        <w:numPr>
          <w:ilvl w:val="0"/>
          <w:numId w:val="2"/>
        </w:numPr>
        <w:spacing w:lineRule="auto" w:line="259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  <w:r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  <w:t xml:space="preserve">Discuss the immune response with respect to tumor &amp; organ transplantation.</w:t>
      </w:r>
    </w:p>
    <w:p>
      <w:pPr>
        <w:numPr>
          <w:ilvl w:val="0"/>
          <w:numId w:val="0"/>
        </w:numPr>
        <w:spacing w:lineRule="auto" w:line="259"/>
        <w:ind w:left="0" w:firstLine="0"/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</w:pPr>
    </w:p>
    <w:p>
      <w:pPr>
        <w:numPr>
          <w:ilvl w:val="0"/>
          <w:numId w:val="0"/>
        </w:numPr>
        <w:spacing w:lineRule="auto" w:line="259"/>
        <w:ind w:left="0" w:firstLine="0"/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</w:pPr>
      <w:r>
        <w:rPr>
          <w:b w:val="1"/>
          <w:color w:val="auto"/>
          <w:sz w:val="22"/>
          <w:szCs w:val="22"/>
          <w:rFonts w:ascii="Times New Roman" w:eastAsia="Times New Roman" w:hAnsi="Times New Roman" w:cs="Times New Roman"/>
        </w:rPr>
        <w:t xml:space="preserve">1.     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Three theories have been put forth to explain </w:t>
      </w:r>
      <w:r>
        <w:rPr>
          <w:spacing w:val="0"/>
          <w:i w:val="0"/>
          <w:b w:val="0"/>
          <w:color w:val="2E2E2E"/>
          <w:sz w:val="20"/>
          <w:szCs w:val="20"/>
          <w:highlight w:val="none"/>
          <w:rFonts w:ascii="Times New Roman" w:eastAsia="Times New Roman" w:hAnsi="Times New Roman" w:cs="Times New Roman"/>
        </w:rPr>
        <w:t xml:space="preserve">antibody diversity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, which allows B cells to generate an 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antibody repertoire capable of reacting with a wide range of antigens: (1) The </w:t>
      </w:r>
      <w:r>
        <w:rPr>
          <w:spacing w:val="0"/>
          <w:i w:val="1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germ-line theory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postulates that 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separate genes exist for each antibody molecule and that the antibody repertoire is largely inherited. (2) The </w:t>
      </w:r>
      <w:r>
        <w:rPr>
          <w:spacing w:val="0"/>
          <w:i w:val="1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deoxyribonucleic acid (DNA) rearrangement theory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 proposes that a limited number of genes undergo genetic 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rearrangements to create antibody populations. (3) Finally, the </w:t>
      </w:r>
      <w:r>
        <w:rPr>
          <w:spacing w:val="0"/>
          <w:i w:val="1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somatic mutation theory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proposes that a limited 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number of inherited genes undergo mutations to general antibody repertoires. In vivo and in vitro studies have 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demonstrated that both the DNA rearrangement theory and the somatic mutation theory provide the most 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plausible explanations for antibody diversity.</w:t>
      </w:r>
    </w:p>
    <w:p>
      <w:pPr>
        <w:jc w:val="left"/>
        <w:spacing w:before="0" w:after="0"/>
        <w:ind w:left="0" w:right="0" w:firstLine="0"/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</w:pP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Antibodies are encoded by different germ-line genetic loci. Variable (V) region, joining (J) region, and constant 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(C) region gene products are assembled into a functional antibody. Variable portion genes (V) code for amino 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acids that constitute the framework regions of the variable region, and three hypervariable complementarity-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determining regions (CDR1, CDR2, and CDR3). The hypervariable regions form the three-dimensional antigen-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binding pocket. Antibody specificity is determined by the specific amino acid sequences in CDR3. The joining 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(J) segment is, in reality, part of the V region and provides some of the framework for the antigen-binding </w:t>
      </w:r>
      <w:r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  <w:t xml:space="preserve">pocket. Only heavy chains have an additional diversity (D) gene.</w:t>
      </w:r>
    </w:p>
    <w:p>
      <w:pPr>
        <w:jc w:val="left"/>
        <w:spacing w:before="0" w:after="0"/>
        <w:ind w:left="0" w:right="0" w:firstLine="0"/>
        <w:rPr>
          <w:spacing w:val="0"/>
          <w:i w:val="0"/>
          <w:b w:val="0"/>
          <w:color w:val="2E2E2E"/>
          <w:sz w:val="20"/>
          <w:szCs w:val="20"/>
          <w:rFonts w:ascii="Times New Roman" w:eastAsia="Times New Roman" w:hAnsi="Times New Roman" w:cs="Times New Roman"/>
        </w:rPr>
      </w:pPr>
    </w:p>
    <w:p>
      <w:pPr>
        <w:jc w:val="left"/>
        <w:ind w:left="0" w:firstLine="0"/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</w:pPr>
      <w:r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  <w:t xml:space="preserve">  </w:t>
      </w:r>
      <w:r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  <w:t xml:space="preserve"> The human immune system is capable of producing a vast number of different antibody molecules, each with </w:t>
      </w:r>
      <w:r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  <w:t xml:space="preserve">its own antigenic specificityThis vast diversity is possible because immunoglobulins genes undergo an unusual </w:t>
      </w:r>
      <w:r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  <w:t xml:space="preserve">type of interaction</w:t>
      </w:r>
    </w:p>
    <w:p>
      <w:pPr>
        <w:jc w:val="left"/>
        <w:ind w:left="0" w:firstLine="0"/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</w:pPr>
      <w:r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  <w:t xml:space="preserve">a.  </w:t>
      </w:r>
      <w:r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  <w:t xml:space="preserve">Embryonic DNA contains a great many genes for the variable regions of the H and L chains</w:t>
      </w:r>
    </w:p>
    <w:p>
      <w:pPr>
        <w:jc w:val="left"/>
        <w:ind w:left="0" w:firstLine="0"/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</w:pPr>
      <w:r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  <w:t xml:space="preserve">b. </w:t>
      </w:r>
      <w:r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  <w:t xml:space="preserve"> A process of somatic recombination (DNA rearrangement and deletion), followed by RNA splicing, results </w:t>
      </w:r>
      <w:r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  <w:t xml:space="preserve">in a large variety of B cell lines that encode different H chains and L chains</w:t>
      </w:r>
    </w:p>
    <w:p>
      <w:pPr>
        <w:jc w:val="left"/>
        <w:ind w:left="0" w:firstLine="0"/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</w:pPr>
      <w:r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  <w:t xml:space="preserve">c.  </w:t>
      </w:r>
      <w:r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  <w:t xml:space="preserve">A fairly high rate of somatic mutation in k , l , and H chains further adds to the diversity</w:t>
      </w:r>
      <w:r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  <w:t>.</w:t>
      </w:r>
    </w:p>
    <w:p>
      <w:pPr>
        <w:jc w:val="left"/>
        <w:ind w:left="0" w:firstLine="0"/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</w:pPr>
    </w:p>
    <w:p>
      <w:pPr>
        <w:jc w:val="left"/>
        <w:ind w:left="0" w:firstLine="0"/>
        <w:rPr>
          <w:spacing w:val="0"/>
          <w:i w:val="0"/>
          <w:b w:val="0"/>
          <w:color w:val="000000"/>
          <w:sz w:val="20"/>
          <w:szCs w:val="20"/>
          <w:rFonts w:ascii="Times New Roman" w:eastAsia="Times New Roman" w:hAnsi="Times New Roman" w:cs="Times New Roman"/>
        </w:rPr>
      </w:pPr>
    </w:p>
    <w:p>
      <w:pPr>
        <w:jc w:val="left"/>
        <w:ind w:left="0" w:firstLine="0"/>
        <w:rPr>
          <w:spacing w:val="0"/>
          <w:i w:val="0"/>
          <w:b w:val="1"/>
          <w:color w:val="000000"/>
          <w:sz w:val="20"/>
          <w:szCs w:val="20"/>
          <w:rFonts w:ascii="Times New Roman" w:eastAsia="Times New Roman" w:hAnsi="Times New Roman" w:cs="Times New Roman"/>
        </w:rPr>
      </w:pPr>
      <w:r>
        <w:rPr>
          <w:spacing w:val="0"/>
          <w:i w:val="0"/>
          <w:b w:val="1"/>
          <w:color w:val="000000"/>
          <w:sz w:val="20"/>
          <w:szCs w:val="20"/>
          <w:rFonts w:ascii="Times New Roman" w:eastAsia="Times New Roman" w:hAnsi="Times New Roman" w:cs="Times New Roman"/>
        </w:rPr>
        <w:t xml:space="preserve">2. </w:t>
      </w:r>
    </w:p>
    <w:p>
      <w:pPr>
        <w:rPr>
          <w:b w:val="0"/>
          <w:color w:val="auto"/>
          <w:sz w:val="20"/>
          <w:szCs w:val="20"/>
          <w:rFonts w:ascii="Times New Roman" w:eastAsia="Times New Roman" w:hAnsi="Times New Roman" w:cs="Times New Roman"/>
        </w:rPr>
      </w:pPr>
      <w:r>
        <w:rPr>
          <w:b w:val="0"/>
          <w:sz w:val="20"/>
          <w:szCs w:val="20"/>
          <w:rFonts w:ascii="Times New Roman" w:eastAsia="Times New Roman" w:hAnsi="Times New Roman" w:cs="Times New Roman"/>
        </w:rPr>
        <w:br/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numPicBullet w:numPicBulletId="0">
    <w:pict>
      <v:shape id="_x0000_s11" type="#_x0000_t75" style="position:static;width:11.2pt;height:11.2pt;z-index:251624960" o:bullet="t" filled="t">
        <v:imagedata r:id="rId1" o:title=" "/>
      </v:shape>
    </w:pict>
  </w:numPicBullet>
  <w:abstractNum w:abstractNumId="0">
    <w:multiLevelType w:val="hybridMultilevel"/>
    <w:nsid w:val="2F000000"/>
    <w:tmpl w:val="49979BCD"/>
    <w:lvl w:ilvl="0">
      <w:lvlJc w:val="left"/>
      <w:lvlPicBulletId w:val="0"/>
      <w:numFmt w:val="bullet"/>
      <w:start w:val="1"/>
      <w:suff w:val="tab"/>
      <w:pPr>
        <w:ind w:left="800" w:hanging="400"/>
        <w:rPr/>
      </w:pPr>
      <w:rPr>
        <w:rFonts w:ascii="Wingdings" w:eastAsia="Wingdings" w:hAnsi="Wingdings" w:cs="Wingdings"/>
      </w:rPr>
      <w:lvlText w:val="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eastAsia="Wingdings" w:hAnsi="Wingdings" w:cs="Wingdings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eastAsia="Wingdings" w:hAnsi="Wingdings" w:cs="Wingdings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eastAsia="Wingdings" w:hAnsi="Wingdings" w:cs="Wingdings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eastAsia="Wingdings" w:hAnsi="Wingdings" w:cs="Wingdings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eastAsia="Wingdings" w:hAnsi="Wingdings" w:cs="Wingdings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eastAsia="Wingdings" w:hAnsi="Wingdings" w:cs="Wingdings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eastAsia="Wingdings" w:hAnsi="Wingdings" w:cs="Wingdings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eastAsia="Wingdings" w:hAnsi="Wingdings" w:cs="Wingdings"/>
      </w:rPr>
      <w:lvlText w:val="u"/>
    </w:lvl>
  </w:abstractNum>
  <w:abstractNum w:abstractNumId="1">
    <w:multiLevelType w:val="hybridMultilevel"/>
    <w:nsid w:val="2F000001"/>
    <w:tmpl w:val="2675E667"/>
    <w:lvl w:ilvl="0">
      <w:lvlJc w:val="left"/>
      <w:numFmt w:val="decimalHalfWidth"/>
      <w:start w:val="1"/>
      <w:suff w:val="tab"/>
      <w:pPr>
        <w:ind w:left="800" w:hanging="400"/>
        <w:rPr/>
      </w:pPr>
      <w:rPr/>
      <w:lvlText w:val="%1."/>
    </w:lvl>
    <w:lvl w:ilvl="1">
      <w:lvlJc w:val="left"/>
      <w:numFmt w:val="upperLetter"/>
      <w:start w:val="1"/>
      <w:suff w:val="tab"/>
      <w:pPr>
        <w:ind w:left="1200" w:hanging="400"/>
        <w:rPr/>
      </w:pPr>
      <w:rPr/>
      <w:lvlText w:val="%2."/>
    </w:lvl>
    <w:lvl w:ilvl="2">
      <w:lvlJc w:val="left"/>
      <w:numFmt w:val="lowerRoman"/>
      <w:start w:val="1"/>
      <w:suff w:val="tab"/>
      <w:pPr>
        <w:ind w:left="1600" w:hanging="400"/>
        <w:rPr/>
      </w:pPr>
      <w:rPr/>
      <w:lvlText w:val="%3."/>
    </w:lvl>
    <w:lvl w:ilvl="3">
      <w:lvlJc w:val="left"/>
      <w:numFmt w:val="decimalHalfWidth"/>
      <w:start w:val="1"/>
      <w:suff w:val="tab"/>
      <w:pPr>
        <w:ind w:left="2000" w:hanging="400"/>
        <w:rPr/>
      </w:pPr>
      <w:rPr/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/>
      <w:lvlText w:val="%5."/>
    </w:lvl>
    <w:lvl w:ilvl="5">
      <w:lvlJc w:val="left"/>
      <w:numFmt w:val="lowerRoman"/>
      <w:start w:val="1"/>
      <w:suff w:val="tab"/>
      <w:pPr>
        <w:ind w:left="2800" w:hanging="400"/>
        <w:rPr/>
      </w:pPr>
      <w:rPr/>
      <w:lvlText w:val="%6."/>
    </w:lvl>
    <w:lvl w:ilvl="6">
      <w:lvlJc w:val="left"/>
      <w:numFmt w:val="decimalHalfWidth"/>
      <w:start w:val="1"/>
      <w:suff w:val="tab"/>
      <w:pPr>
        <w:ind w:left="3200" w:hanging="400"/>
        <w:rPr/>
      </w:pPr>
      <w:rPr/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/>
      <w:lvlText w:val="%8."/>
    </w:lvl>
    <w:lvl w:ilvl="8">
      <w:lvlJc w:val="left"/>
      <w:numFmt w:val="lowerRoman"/>
      <w:start w:val="1"/>
      <w:suff w:val="tab"/>
      <w:pPr>
        <w:ind w:left="4000" w:hanging="400"/>
        <w:rPr/>
      </w:pPr>
      <w:rPr/>
      <w:lvlText w:val="%9."/>
    </w:lvl>
  </w:abstractNum>
  <w:abstractNum w:abstractNumId="2">
    <w:multiLevelType w:val="hybridMultilevel"/>
    <w:nsid w:val="2F000002"/>
    <w:tmpl w:val="2C697804"/>
    <w:lvl w:ilvl="0">
      <w:lvlJc w:val="left"/>
      <w:numFmt w:val="decimalHalfWidth"/>
      <w:start w:val="1"/>
      <w:suff w:val="tab"/>
      <w:pPr>
        <w:ind w:left="800" w:hanging="400"/>
        <w:rPr/>
      </w:pPr>
      <w:rPr/>
      <w:lvlText w:val="%1."/>
    </w:lvl>
    <w:lvl w:ilvl="1">
      <w:lvlJc w:val="left"/>
      <w:numFmt w:val="upperLetter"/>
      <w:start w:val="1"/>
      <w:suff w:val="tab"/>
      <w:pPr>
        <w:ind w:left="1200" w:hanging="400"/>
        <w:rPr/>
      </w:pPr>
      <w:rPr/>
      <w:lvlText w:val="%2."/>
    </w:lvl>
    <w:lvl w:ilvl="2">
      <w:lvlJc w:val="left"/>
      <w:numFmt w:val="lowerRoman"/>
      <w:start w:val="1"/>
      <w:suff w:val="tab"/>
      <w:pPr>
        <w:ind w:left="1600" w:hanging="400"/>
        <w:rPr/>
      </w:pPr>
      <w:rPr/>
      <w:lvlText w:val="%3."/>
    </w:lvl>
    <w:lvl w:ilvl="3">
      <w:lvlJc w:val="left"/>
      <w:numFmt w:val="decimalHalfWidth"/>
      <w:start w:val="1"/>
      <w:suff w:val="tab"/>
      <w:pPr>
        <w:ind w:left="2000" w:hanging="400"/>
        <w:rPr/>
      </w:pPr>
      <w:rPr/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/>
      <w:lvlText w:val="%5."/>
    </w:lvl>
    <w:lvl w:ilvl="5">
      <w:lvlJc w:val="left"/>
      <w:numFmt w:val="lowerRoman"/>
      <w:start w:val="1"/>
      <w:suff w:val="tab"/>
      <w:pPr>
        <w:ind w:left="2800" w:hanging="400"/>
        <w:rPr/>
      </w:pPr>
      <w:rPr/>
      <w:lvlText w:val="%6."/>
    </w:lvl>
    <w:lvl w:ilvl="6">
      <w:lvlJc w:val="left"/>
      <w:numFmt w:val="decimalHalfWidth"/>
      <w:start w:val="1"/>
      <w:suff w:val="tab"/>
      <w:pPr>
        <w:ind w:left="3200" w:hanging="400"/>
        <w:rPr/>
      </w:pPr>
      <w:rPr/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/>
      <w:lvlText w:val="%8."/>
    </w:lvl>
    <w:lvl w:ilvl="8">
      <w:lvlJc w:val="left"/>
      <w:numFmt w:val="lowerRoman"/>
      <w:start w:val="1"/>
      <w:suff w:val="tab"/>
      <w:pPr>
        <w:ind w:left="4000" w:hanging="400"/>
        <w:rPr/>
      </w:pPr>
      <w:rPr/>
      <w:lvlText w:val="%9.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 w:after="160"/>
      <w:rPr/>
      <w:autoSpaceDE w:val="0"/>
      <w:autoSpaceDN w:val="0"/>
    </w:pPr>
    <w:rPr>
      <w:color w:val="auto"/>
      <w:sz w:val="22"/>
      <w:szCs w:val="22"/>
      <w:rFonts w:ascii="Times New Roman" w:eastAsia="Times New Roman" w:hAnsi="Times New Roman" w:cs="Times New Roman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28" w:type="paragraph">
    <w:name w:val="toc 1"/>
    <w:basedOn w:val="PO1"/>
    <w:next w:val="PO1"/>
    <w:qFormat/>
    <w:uiPriority w:val="28"/>
    <w:unhideWhenUsed/>
    <w:pPr>
      <w:rPr/>
    </w:pPr>
    <w:rPr>
      <w:sz w:val="22"/>
      <w:szCs w:val="22"/>
    </w:rPr>
  </w:style>
  <w:style w:styleId="PO29" w:type="paragraph">
    <w:name w:val="toc 2"/>
    <w:basedOn w:val="PO1"/>
    <w:next w:val="PO1"/>
    <w:qFormat/>
    <w:uiPriority w:val="29"/>
    <w:unhideWhenUsed/>
    <w:pPr>
      <w:ind w:left="425" w:firstLine="0"/>
      <w:rPr/>
    </w:pPr>
    <w:rPr>
      <w:sz w:val="22"/>
      <w:szCs w:val="22"/>
    </w:rPr>
  </w:style>
  <w:style w:styleId="PO30" w:type="paragraph">
    <w:name w:val="toc 3"/>
    <w:basedOn w:val="PO1"/>
    <w:next w:val="PO1"/>
    <w:qFormat/>
    <w:uiPriority w:val="30"/>
    <w:unhideWhenUsed/>
    <w:pPr>
      <w:ind w:left="850" w:firstLine="0"/>
      <w:rPr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_rels/numbering.xml.rels><?xml version="1.0" encoding="UTF-8"?>
<Relationships xmlns="http://schemas.openxmlformats.org/package/2006/relationships"><Relationship Id="rId1" Type="http://schemas.openxmlformats.org/officeDocument/2006/relationships/image" Target="media/fImage38411171.png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351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Oribim  Briggs</dc:creator>
  <cp:lastModifiedBy/>
</cp:coreProperties>
</file>