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NAME: BALOGUN ALI KOLADE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MATRIC NUMBER: 17/SCI01/019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COURSE CODE: CSC30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6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</w:rPr>
        <w:t>COURSE TITLE: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Data Management I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ASSIGNMENT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PROJECT Column OrderNo, OrdDate, FROM Orders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Order No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Order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AJ123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12/02/16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Gk300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13/02/16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NN125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10/12/16</w:t>
            </w: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JOIN tables  Orders, Order Items, matching columns Orders, Order No with Order Items, Order No.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Order No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Cust No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Order Date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Carrier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Item Code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Quantity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AJ123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5567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12/2/16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DHL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A/23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AJ123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5567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12/2/16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DHL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F/2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250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AJ123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5567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12/2/16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DHL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M/66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GK300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3488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13/2/16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FedEx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B/10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GK300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3488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13/2/16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FedEx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F/12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NN125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5567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10/12/16</w:t>
            </w:r>
          </w:p>
        </w:tc>
        <w:tc>
          <w:tcPr>
            <w:tcW w:w="1217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Speed Post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M/78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</w:t>
            </w:r>
          </w:p>
        </w:tc>
        <w:tc>
          <w:tcPr>
            <w:tcW w:w="1218" w:type="dxa"/>
          </w:tcPr>
          <w:p>
            <w:pPr>
              <w:numPr>
                <w:numId w:val="0"/>
              </w:numPr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</w:t>
            </w:r>
          </w:p>
        </w:tc>
      </w:tr>
    </w:tbl>
    <w:p>
      <w:pPr>
        <w:numPr>
          <w:numId w:val="0"/>
        </w:numPr>
        <w:ind w:leftChars="0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589369"/>
    <w:multiLevelType w:val="singleLevel"/>
    <w:tmpl w:val="E658936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95C7C"/>
    <w:rsid w:val="5B805A25"/>
    <w:rsid w:val="761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2020-04-08T10:31:00Z</dcterms:created>
  <dc:creator>google1561635384</dc:creator>
  <cp:lastModifiedBy>Ali</cp:lastModifiedBy>
  <dcterms:modified xsi:type="dcterms:W3CDTF">2020-04-09T12:30:21Z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