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10E41">
        <w:rPr>
          <w:rFonts w:ascii="Arial" w:hAnsi="Arial" w:cs="Arial"/>
          <w:color w:val="000000" w:themeColor="text1"/>
          <w:sz w:val="21"/>
          <w:szCs w:val="21"/>
        </w:rPr>
        <w:t>Chidubem Onochie-</w:t>
      </w:r>
      <w:r w:rsidR="00700C61">
        <w:rPr>
          <w:rFonts w:ascii="Arial" w:hAnsi="Arial" w:cs="Arial"/>
          <w:color w:val="000000" w:themeColor="text1"/>
          <w:sz w:val="21"/>
          <w:szCs w:val="21"/>
        </w:rPr>
        <w:t>Onyetenu Brandon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</w:t>
      </w:r>
      <w:r w:rsidR="00700C61">
        <w:rPr>
          <w:rFonts w:ascii="Arial" w:hAnsi="Arial" w:cs="Arial"/>
          <w:color w:val="000000" w:themeColor="text1"/>
          <w:sz w:val="21"/>
          <w:szCs w:val="21"/>
        </w:rPr>
        <w:t>ENG02/072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r>
        <w:rPr>
          <w:rFonts w:ascii="Arial" w:hAnsi="Arial" w:cs="Arial"/>
          <w:color w:val="000000" w:themeColor="text1"/>
          <w:sz w:val="21"/>
          <w:szCs w:val="21"/>
        </w:rPr>
        <w:t>C</w:t>
      </w:r>
      <w:r w:rsidR="00700C61">
        <w:rPr>
          <w:rFonts w:ascii="Arial" w:hAnsi="Arial" w:cs="Arial"/>
          <w:color w:val="000000" w:themeColor="text1"/>
          <w:sz w:val="21"/>
          <w:szCs w:val="21"/>
        </w:rPr>
        <w:t xml:space="preserve">omputer </w:t>
      </w:r>
      <w:r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ngineering 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>tained other novel concepts such as "associated trademarks", a consent to use system, a defensive mark system, and non claiming right system.</w:t>
      </w: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52E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12E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12E10" w:rsidRDefault="00812E10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12E10" w:rsidRDefault="00812E10"/>
    <w:p w:rsidR="00812E10" w:rsidRDefault="00812E10"/>
    <w:sectPr w:rsidR="0081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0"/>
    <w:rsid w:val="00700C61"/>
    <w:rsid w:val="00812E10"/>
    <w:rsid w:val="00852E47"/>
    <w:rsid w:val="00C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DF299"/>
  <w15:docId w15:val="{998ACB06-167A-4E4D-9D90-8786815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Chidubem Onochie Onyetenu Brandon</cp:lastModifiedBy>
  <cp:revision>2</cp:revision>
  <dcterms:created xsi:type="dcterms:W3CDTF">2020-04-09T16:01:00Z</dcterms:created>
  <dcterms:modified xsi:type="dcterms:W3CDTF">2020-04-09T16:01:00Z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