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rPr>
          <w:sz w:val="52"/>
        </w:rPr>
      </w:pPr>
      <w:r>
        <w:rPr>
          <w:sz w:val="52"/>
          <w:lang w:val="en-US"/>
        </w:rPr>
        <w:t xml:space="preserve"> Abubakar Badamasi</w:t>
      </w:r>
    </w:p>
    <w:p>
      <w:pPr>
        <w:rPr>
          <w:sz w:val="52"/>
        </w:rPr>
      </w:pPr>
      <w:r>
        <w:rPr>
          <w:sz w:val="52"/>
          <w:lang w:val="en-US"/>
        </w:rPr>
        <w:t>18/</w:t>
      </w:r>
      <w:r>
        <w:rPr>
          <w:sz w:val="52"/>
          <w:lang w:val="en-US"/>
        </w:rPr>
        <w:t>mhs07/053</w:t>
      </w:r>
    </w:p>
    <w:p>
      <w:pPr>
        <w:rPr>
          <w:sz w:val="52"/>
        </w:rPr>
      </w:pPr>
      <w:r>
        <w:rPr>
          <w:sz w:val="52"/>
          <w:lang w:val="en-US"/>
        </w:rPr>
        <w:t>Pharmacology</w:t>
      </w:r>
    </w:p>
    <w:p>
      <w:pPr>
        <w:rPr>
          <w:sz w:val="52"/>
        </w:rPr>
      </w:pPr>
      <w:r>
        <w:rPr>
          <w:sz w:val="52"/>
          <w:lang w:val="en-US"/>
        </w:rPr>
        <w:t>PHA312</w:t>
      </w:r>
    </w:p>
    <w:p>
      <w:pPr>
        <w:rPr>
          <w:sz w:val="52"/>
        </w:rPr>
      </w:pPr>
      <w:r>
        <w:rPr>
          <w:sz w:val="52"/>
        </w:rPr>
        <w:t xml:space="preserve">                      </w:t>
      </w:r>
      <w:r>
        <w:rPr>
          <w:sz w:val="52"/>
          <w:u w:val="single"/>
          <w:lang w:val="en-US"/>
        </w:rPr>
        <w:t>Assignment</w:t>
      </w:r>
    </w:p>
    <w:p>
      <w:pPr>
        <w:rPr>
          <w:sz w:val="36"/>
          <w:lang w:val="en-US"/>
        </w:rPr>
      </w:pPr>
      <w:r>
        <w:rPr>
          <w:sz w:val="48"/>
        </w:rPr>
        <w:t xml:space="preserve">   </w:t>
      </w:r>
      <w:r>
        <w:rPr>
          <w:sz w:val="48"/>
          <w:lang w:val="en-US"/>
        </w:rPr>
        <w:t xml:space="preserve">1). </w:t>
      </w:r>
      <w:r>
        <w:rPr>
          <w:sz w:val="34"/>
          <w:lang w:val="en-US"/>
        </w:rPr>
        <w:t>Malaria infection begins when an infected female Anopheles mosquito bites a person, injecting Plasmodium parasites, in the form of sporozoites, into the bloodstream.</w:t>
      </w:r>
    </w:p>
    <w:p>
      <w:pPr>
        <w:rPr>
          <w:sz w:val="36"/>
          <w:lang w:val="en-US"/>
        </w:rPr>
      </w:pPr>
      <w:r>
        <w:rPr>
          <w:sz w:val="36"/>
          <w:lang w:val="en-US"/>
        </w:rPr>
        <w:t>The sporozoites pass quickly into the human liver.</w:t>
      </w:r>
    </w:p>
    <w:p>
      <w:pPr>
        <w:rPr>
          <w:sz w:val="36"/>
          <w:lang w:val="en-US"/>
        </w:rPr>
      </w:pPr>
      <w:r>
        <w:rPr>
          <w:sz w:val="36"/>
          <w:lang w:val="en-US"/>
        </w:rPr>
        <w:t>In an animal model, the parasites, in the form of merozoites, are released from the liver cells in vesicles, journey through the heart, and arrive in the lungs, where they settle within lung capillaries. The vesicles eventually disintegrate, freeing the merozoites to enter the blood phase of their development.*</w:t>
      </w:r>
    </w:p>
    <w:p>
      <w:pPr>
        <w:rPr>
          <w:sz w:val="36"/>
          <w:lang w:val="en-US"/>
        </w:rPr>
      </w:pPr>
      <w:r>
        <w:rPr>
          <w:sz w:val="36"/>
          <w:lang w:val="en-US"/>
        </w:rPr>
        <w:t>In the bloodstream, the merozoites invade red blood cells (erythrocytes) and multiply again until the cells burst. Then they invade more erythrocytes. This cycle is repeated, causing fever each time parasites break free and invade blood cells.</w:t>
      </w:r>
    </w:p>
    <w:p>
      <w:pPr>
        <w:rPr>
          <w:sz w:val="36"/>
          <w:lang w:val="en-US"/>
        </w:rPr>
      </w:pPr>
      <w:r>
        <w:rPr>
          <w:sz w:val="36"/>
          <w:lang w:val="en-US"/>
        </w:rPr>
        <w:t>Some of the infected blood cells leave the cycle of asexual multiplication. Instead of replicating, the merozoites in these cells develop into sexual forms of the parasite, called gametocytes, that circulat</w:t>
      </w:r>
      <w:r>
        <w:rPr>
          <w:sz w:val="36"/>
          <w:lang w:val="en-US"/>
        </w:rPr>
        <w:t>e in the blood stream.</w:t>
      </w:r>
    </w:p>
    <w:p>
      <w:pPr>
        <w:rPr>
          <w:sz w:val="36"/>
          <w:lang w:val="en-US"/>
        </w:rPr>
      </w:pPr>
      <w:r>
        <w:rPr>
          <w:sz w:val="36"/>
          <w:lang w:val="en-US"/>
        </w:rPr>
        <w:t>When a mosquito bites an infected human, it ingests the gametocytes, which develop further into mature sex cells called gametes.</w:t>
      </w:r>
    </w:p>
    <w:p>
      <w:pPr>
        <w:rPr>
          <w:sz w:val="36"/>
          <w:lang w:val="en-US"/>
        </w:rPr>
      </w:pPr>
      <w:r>
        <w:rPr>
          <w:sz w:val="36"/>
          <w:lang w:val="en-US"/>
        </w:rPr>
        <w:t>The fertilized female gametes develop into actively moving ookinetes that burrow through the mosquito's midgut wall and form oocysts on the exterior surface.</w:t>
      </w:r>
    </w:p>
    <w:p>
      <w:pPr>
        <w:rPr>
          <w:sz w:val="36"/>
          <w:lang w:val="en-US"/>
        </w:rPr>
      </w:pPr>
      <w:r>
        <w:rPr>
          <w:sz w:val="36"/>
          <w:lang w:val="en-US"/>
        </w:rPr>
        <w:t>Inside the oocyst, thousands of active sporozoites develop. The oocy</w:t>
      </w:r>
      <w:r>
        <w:rPr>
          <w:sz w:val="36"/>
          <w:lang w:val="en-US"/>
        </w:rPr>
        <w:t>st eventually bursts, releasing sporozoites into the body cavity that travel to the mosquito's salivary glands.</w:t>
      </w:r>
    </w:p>
    <w:p>
      <w:pPr>
        <w:rPr>
          <w:sz w:val="36"/>
          <w:lang w:val="en-US"/>
        </w:rPr>
      </w:pPr>
      <w:r>
        <w:rPr>
          <w:sz w:val="36"/>
          <w:lang w:val="en-US"/>
        </w:rPr>
        <w:t>The cycle of human infection begins agai</w:t>
      </w:r>
      <w:r>
        <w:rPr>
          <w:sz w:val="36"/>
          <w:lang w:val="en-US"/>
        </w:rPr>
        <w:t>n when the mosquito bites another pers</w:t>
      </w:r>
      <w:r>
        <w:rPr>
          <w:sz w:val="36"/>
          <w:lang w:val="en-US"/>
        </w:rPr>
        <w:t>on</w:t>
      </w:r>
    </w:p>
    <w:p>
      <w:pPr>
        <w:rPr>
          <w:sz w:val="36"/>
          <w:lang w:val="en-US"/>
        </w:rPr>
      </w:pPr>
    </w:p>
    <w:p>
      <w:pPr>
        <w:rPr>
          <w:sz w:val="36"/>
        </w:rPr>
      </w:pPr>
      <w:r>
        <w:rPr>
          <w:sz w:val="36"/>
        </w:rPr>
        <w:drawing>
          <wp:inline>
            <wp:extent cx="5471795" cy="3985895"/>
            <wp:effectExtent l="0" t="0" r="0" b="0"/>
            <wp:docPr id="2" name="Picture 2"/>
            <wp:cNvGraphicFramePr>
              <a:graphicFrameLocks xmlns:a="http://schemas.openxmlformats.org/drawingml/2006/main" noChangeAspect="1"/>
            </wp:cNvGraphicFramePr>
            <a:graphic xmlns:a="http://schemas.openxmlformats.org/drawingml/2006/main">
              <a:graphicData a:uri="http://schemas.openxmlformats.org/drawingml/2006/picture">
                <pic:pic xmlns:pic="http://schemas.openxmlformats.org/drawingml/2006/picture">
                  <pic:nvPicPr>
                    <pic:cNvPr id="0" name="picture.jpg"/>
                    <pic:cNvPicPr/>
                  </pic:nvPicPr>
                  <pic:blipFill>
                    <a:blip r:embed="rId9"/>
                    <a:stretch>
                      <a:fillRect/>
                    </a:stretch>
                  </pic:blipFill>
                  <pic:spPr>
                    <a:xfrm rot="0">
                      <a:off x="0" y="0"/>
                      <a:ext cx="5471795" cy="3985895"/>
                    </a:xfrm>
                    <a:prstGeom prst="rect">
                      <a:avLst/>
                    </a:prstGeom>
                  </pic:spPr>
                </pic:pic>
              </a:graphicData>
            </a:graphic>
          </wp:inline>
        </w:drawing>
      </w:r>
    </w:p>
    <w:p>
      <w:pPr>
        <w:rPr>
          <w:sz w:val="36"/>
        </w:rPr>
      </w:pPr>
    </w:p>
    <w:p>
      <w:pPr>
        <w:rPr>
          <w:sz w:val="36"/>
        </w:rPr>
      </w:pPr>
      <w:r>
        <w:rPr>
          <w:sz w:val="36"/>
          <w:lang w:val="en-US"/>
        </w:rPr>
        <w:t xml:space="preserve">2.  A) </w:t>
      </w:r>
      <w:r>
        <w:rPr>
          <w:sz w:val="36"/>
          <w:lang w:val="en-US"/>
        </w:rPr>
        <w:t xml:space="preserve">luminal </w:t>
      </w:r>
      <w:r>
        <w:rPr>
          <w:sz w:val="36"/>
          <w:lang w:val="en-US"/>
        </w:rPr>
        <w:t>amoebicide</w:t>
      </w:r>
    </w:p>
    <w:p>
      <w:pPr>
        <w:rPr>
          <w:sz w:val="36"/>
        </w:rPr>
      </w:pPr>
      <w:r>
        <w:rPr>
          <w:sz w:val="36"/>
        </w:rPr>
        <w:t xml:space="preserve">    </w:t>
      </w:r>
      <w:r>
        <w:rPr>
          <w:sz w:val="36"/>
          <w:lang w:val="en-US"/>
        </w:rPr>
        <w:t>B</w:t>
      </w:r>
      <w:r>
        <w:rPr>
          <w:sz w:val="36"/>
          <w:lang w:val="en-US"/>
        </w:rPr>
        <w:t xml:space="preserve">)  </w:t>
      </w:r>
      <w:r>
        <w:rPr>
          <w:sz w:val="36"/>
          <w:lang w:val="en-US"/>
        </w:rPr>
        <w:t xml:space="preserve">Tissue </w:t>
      </w:r>
      <w:r>
        <w:rPr>
          <w:sz w:val="36"/>
          <w:lang w:val="en-US"/>
        </w:rPr>
        <w:t>amoebicide</w:t>
      </w:r>
    </w:p>
    <w:p>
      <w:pPr>
        <w:rPr>
          <w:sz w:val="36"/>
        </w:rPr>
      </w:pPr>
    </w:p>
    <w:p>
      <w:pPr>
        <w:rPr>
          <w:sz w:val="36"/>
        </w:rPr>
      </w:pPr>
      <w:r>
        <w:rPr>
          <w:sz w:val="36"/>
          <w:lang w:val="en-US"/>
        </w:rPr>
        <w:t xml:space="preserve">3.  (A)  </w:t>
      </w:r>
      <w:r>
        <w:rPr>
          <w:sz w:val="36"/>
          <w:lang w:val="en-US"/>
        </w:rPr>
        <w:t>Luminal amoebicide</w:t>
      </w:r>
    </w:p>
    <w:p>
      <w:pPr>
        <w:numPr>
          <w:ilvl w:val="0"/>
          <w:numId w:val="1"/>
        </w:numPr>
        <w:rPr>
          <w:sz w:val="36"/>
        </w:rPr>
      </w:pPr>
      <w:r>
        <w:rPr>
          <w:sz w:val="36"/>
          <w:lang w:val="en-US"/>
        </w:rPr>
        <w:t xml:space="preserve">Amide:- </w:t>
      </w:r>
      <w:r>
        <w:rPr>
          <w:sz w:val="36"/>
          <w:lang w:val="en-US"/>
        </w:rPr>
        <w:t xml:space="preserve">diloxanide </w:t>
      </w:r>
      <w:r>
        <w:rPr>
          <w:sz w:val="36"/>
          <w:lang w:val="en-US"/>
        </w:rPr>
        <w:t xml:space="preserve">furate, </w:t>
      </w:r>
      <w:r>
        <w:rPr>
          <w:sz w:val="36"/>
          <w:lang w:val="en-US"/>
        </w:rPr>
        <w:t xml:space="preserve">nitazoxanide </w:t>
      </w:r>
    </w:p>
    <w:p>
      <w:pPr>
        <w:numPr>
          <w:ilvl w:val="0"/>
          <w:numId w:val="1"/>
        </w:numPr>
        <w:rPr>
          <w:sz w:val="36"/>
        </w:rPr>
      </w:pPr>
      <w:r>
        <w:rPr>
          <w:sz w:val="36"/>
          <w:lang w:val="en-US"/>
        </w:rPr>
        <w:t xml:space="preserve">8-hydroxylquinolols:- </w:t>
      </w:r>
      <w:r>
        <w:rPr>
          <w:sz w:val="36"/>
          <w:lang w:val="en-US"/>
        </w:rPr>
        <w:t xml:space="preserve">di-iodohydroxyl , </w:t>
      </w:r>
      <w:r>
        <w:rPr>
          <w:sz w:val="36"/>
          <w:lang w:val="en-US"/>
        </w:rPr>
        <w:t>quinidochlor</w:t>
      </w:r>
    </w:p>
    <w:p>
      <w:pPr>
        <w:numPr>
          <w:ilvl w:val="0"/>
          <w:numId w:val="1"/>
        </w:numPr>
        <w:rPr>
          <w:sz w:val="36"/>
        </w:rPr>
      </w:pPr>
      <w:r>
        <w:rPr>
          <w:sz w:val="36"/>
          <w:lang w:val="en-US"/>
        </w:rPr>
        <w:t xml:space="preserve">Antibiotics:- </w:t>
      </w:r>
      <w:r>
        <w:rPr>
          <w:sz w:val="36"/>
          <w:lang w:val="en-US"/>
        </w:rPr>
        <w:t xml:space="preserve">tetracycline, </w:t>
      </w:r>
      <w:r>
        <w:rPr>
          <w:sz w:val="36"/>
          <w:lang w:val="en-US"/>
        </w:rPr>
        <w:t xml:space="preserve">paronomycin                              (B). </w:t>
      </w:r>
      <w:r>
        <w:rPr>
          <w:sz w:val="36"/>
          <w:lang w:val="en-US"/>
        </w:rPr>
        <w:t>Tissue amoebicide</w:t>
      </w:r>
    </w:p>
    <w:p>
      <w:pPr>
        <w:numPr>
          <w:ilvl w:val="0"/>
          <w:numId w:val="1"/>
        </w:numPr>
        <w:rPr>
          <w:sz w:val="36"/>
        </w:rPr>
      </w:pPr>
      <w:r>
        <w:rPr>
          <w:sz w:val="36"/>
          <w:lang w:val="en-US"/>
        </w:rPr>
        <w:t xml:space="preserve">Nitroimidazole:- </w:t>
      </w:r>
      <w:r>
        <w:rPr>
          <w:sz w:val="36"/>
          <w:lang w:val="en-US"/>
        </w:rPr>
        <w:t xml:space="preserve">metronidazole, </w:t>
      </w:r>
      <w:r>
        <w:rPr>
          <w:sz w:val="36"/>
          <w:lang w:val="en-US"/>
        </w:rPr>
        <w:t xml:space="preserve">timidazole </w:t>
      </w:r>
    </w:p>
    <w:p>
      <w:pPr>
        <w:numPr>
          <w:ilvl w:val="0"/>
          <w:numId w:val="1"/>
        </w:numPr>
        <w:rPr>
          <w:sz w:val="36"/>
        </w:rPr>
      </w:pPr>
      <w:r>
        <w:rPr>
          <w:sz w:val="36"/>
          <w:lang w:val="en-US"/>
        </w:rPr>
        <w:t xml:space="preserve">Alkaloids:- </w:t>
      </w:r>
      <w:r>
        <w:rPr>
          <w:sz w:val="36"/>
          <w:lang w:val="en-US"/>
        </w:rPr>
        <w:t>imitine</w:t>
      </w:r>
      <w:r>
        <w:rPr>
          <w:sz w:val="36"/>
          <w:lang w:val="en-US"/>
        </w:rPr>
        <w:t xml:space="preserve">, </w:t>
      </w:r>
      <w:r>
        <w:rPr>
          <w:sz w:val="36"/>
          <w:lang w:val="en-US"/>
        </w:rPr>
        <w:t>dihydroimitine.                                       ,,,................................................................     ..                            ..</w:t>
      </w:r>
      <w:r>
        <w:rPr>
          <w:sz w:val="36"/>
          <w:lang w:val="en-US"/>
        </w:rPr>
        <w:t xml:space="preserve">                                                                                  4).  </w:t>
      </w:r>
      <w:r>
        <w:rPr>
          <w:sz w:val="36"/>
          <w:lang w:val="en-US"/>
        </w:rPr>
        <w:t xml:space="preserve">Metronidazole:- </w:t>
      </w:r>
      <w:r>
        <w:rPr>
          <w:sz w:val="36"/>
          <w:lang w:val="en-US"/>
        </w:rPr>
        <w:t xml:space="preserve">it </w:t>
      </w:r>
      <w:r>
        <w:rPr>
          <w:sz w:val="36"/>
          <w:lang w:val="en-US"/>
        </w:rPr>
        <w:t xml:space="preserve">is </w:t>
      </w:r>
      <w:r>
        <w:rPr>
          <w:sz w:val="36"/>
          <w:lang w:val="en-US"/>
        </w:rPr>
        <w:t xml:space="preserve">the </w:t>
      </w:r>
      <w:r>
        <w:rPr>
          <w:sz w:val="36"/>
          <w:lang w:val="en-US"/>
        </w:rPr>
        <w:t xml:space="preserve">prototype </w:t>
      </w:r>
      <w:r>
        <w:rPr>
          <w:sz w:val="36"/>
          <w:lang w:val="en-US"/>
        </w:rPr>
        <w:t xml:space="preserve">of nitroimidazole </w:t>
      </w:r>
      <w:r>
        <w:rPr>
          <w:sz w:val="36"/>
          <w:lang w:val="en-US"/>
        </w:rPr>
        <w:t xml:space="preserve">and </w:t>
      </w:r>
      <w:r>
        <w:rPr>
          <w:sz w:val="36"/>
          <w:lang w:val="en-US"/>
        </w:rPr>
        <w:t xml:space="preserve">highly </w:t>
      </w:r>
      <w:r>
        <w:rPr>
          <w:sz w:val="36"/>
          <w:lang w:val="en-US"/>
        </w:rPr>
        <w:t xml:space="preserve">active </w:t>
      </w:r>
      <w:r>
        <w:rPr>
          <w:sz w:val="36"/>
          <w:lang w:val="en-US"/>
        </w:rPr>
        <w:t xml:space="preserve">amoebicide </w:t>
      </w:r>
      <w:r>
        <w:rPr>
          <w:sz w:val="36"/>
          <w:lang w:val="en-US"/>
        </w:rPr>
        <w:t xml:space="preserve">it </w:t>
      </w:r>
      <w:r>
        <w:rPr>
          <w:sz w:val="36"/>
          <w:lang w:val="en-US"/>
        </w:rPr>
        <w:t xml:space="preserve">has </w:t>
      </w:r>
      <w:r>
        <w:rPr>
          <w:sz w:val="36"/>
          <w:lang w:val="en-US"/>
        </w:rPr>
        <w:t xml:space="preserve">broad </w:t>
      </w:r>
      <w:r>
        <w:rPr>
          <w:sz w:val="36"/>
          <w:lang w:val="en-US"/>
        </w:rPr>
        <w:t xml:space="preserve">spectrum </w:t>
      </w:r>
      <w:r>
        <w:rPr>
          <w:sz w:val="36"/>
          <w:lang w:val="en-US"/>
        </w:rPr>
        <w:t xml:space="preserve">sidal </w:t>
      </w:r>
      <w:r>
        <w:rPr>
          <w:sz w:val="36"/>
          <w:lang w:val="en-US"/>
        </w:rPr>
        <w:t xml:space="preserve">activity </w:t>
      </w:r>
      <w:r>
        <w:rPr>
          <w:sz w:val="36"/>
          <w:lang w:val="en-US"/>
        </w:rPr>
        <w:t xml:space="preserve">against </w:t>
      </w:r>
      <w:r>
        <w:rPr>
          <w:sz w:val="36"/>
          <w:lang w:val="en-US"/>
        </w:rPr>
        <w:t xml:space="preserve">anaerobic </w:t>
      </w:r>
      <w:r>
        <w:rPr>
          <w:sz w:val="36"/>
          <w:lang w:val="en-US"/>
        </w:rPr>
        <w:t>protozoa.</w:t>
      </w:r>
    </w:p>
    <w:p>
      <w:pPr>
        <w:numPr>
          <w:ilvl w:val="0"/>
          <w:numId w:val="1"/>
        </w:numPr>
        <w:rPr>
          <w:sz w:val="36"/>
        </w:rPr>
      </w:pPr>
      <w:r>
        <w:rPr>
          <w:sz w:val="36"/>
          <w:u w:val="single"/>
          <w:lang w:val="en-US"/>
        </w:rPr>
        <w:t>MOA:-</w:t>
      </w:r>
      <w:r>
        <w:rPr>
          <w:sz w:val="36"/>
          <w:u w:val="none"/>
          <w:lang w:val="en-US"/>
        </w:rPr>
        <w:t xml:space="preserve"> </w:t>
      </w:r>
      <w:r>
        <w:rPr>
          <w:sz w:val="36"/>
          <w:u w:val="none"/>
          <w:lang w:val="en-US"/>
        </w:rPr>
        <w:t>it</w:t>
      </w:r>
      <w:r>
        <w:rPr>
          <w:sz w:val="36"/>
          <w:u w:val="single"/>
          <w:lang w:val="en-US"/>
        </w:rPr>
        <w:t xml:space="preserve"> </w:t>
      </w:r>
      <w:r>
        <w:rPr>
          <w:sz w:val="36"/>
          <w:lang w:val="en-US"/>
        </w:rPr>
        <w:t>inhibits nucleic acid synthesis by disrupting the DNA of microbial cells. This function only occurs when metronidazole is partially reduced, and because this reduction usually happens only in anaerobic bacteria and protozoans, it has relatively little effect upon human cells or aerobic bacteria.</w:t>
      </w:r>
    </w:p>
    <w:p>
      <w:pPr>
        <w:numPr>
          <w:ilvl w:val="0"/>
          <w:numId w:val="1"/>
        </w:numPr>
        <w:rPr>
          <w:sz w:val="36"/>
        </w:rPr>
      </w:pPr>
      <w:r>
        <w:rPr>
          <w:sz w:val="36"/>
          <w:lang w:val="en-US"/>
        </w:rPr>
        <w:t xml:space="preserve">After </w:t>
      </w:r>
      <w:r>
        <w:rPr>
          <w:sz w:val="36"/>
          <w:lang w:val="en-US"/>
        </w:rPr>
        <w:t xml:space="preserve">entering </w:t>
      </w:r>
      <w:r>
        <w:rPr>
          <w:sz w:val="36"/>
          <w:lang w:val="en-US"/>
        </w:rPr>
        <w:t xml:space="preserve">cell </w:t>
      </w:r>
      <w:r>
        <w:rPr>
          <w:sz w:val="36"/>
          <w:lang w:val="en-US"/>
        </w:rPr>
        <w:t xml:space="preserve">by diffusion. </w:t>
      </w:r>
      <w:r>
        <w:rPr>
          <w:sz w:val="36"/>
          <w:lang w:val="en-US"/>
        </w:rPr>
        <w:t xml:space="preserve">It's </w:t>
      </w:r>
      <w:r>
        <w:rPr>
          <w:sz w:val="36"/>
          <w:lang w:val="en-US"/>
        </w:rPr>
        <w:t xml:space="preserve">nitro </w:t>
      </w:r>
      <w:r>
        <w:rPr>
          <w:sz w:val="36"/>
          <w:lang w:val="en-US"/>
        </w:rPr>
        <w:t xml:space="preserve">group </w:t>
      </w:r>
      <w:r>
        <w:rPr>
          <w:sz w:val="36"/>
          <w:lang w:val="en-US"/>
        </w:rPr>
        <w:t xml:space="preserve">is </w:t>
      </w:r>
      <w:r>
        <w:rPr>
          <w:sz w:val="36"/>
          <w:lang w:val="en-US"/>
        </w:rPr>
        <w:t xml:space="preserve">reduced </w:t>
      </w:r>
      <w:r>
        <w:rPr>
          <w:sz w:val="36"/>
          <w:lang w:val="en-US"/>
        </w:rPr>
        <w:t xml:space="preserve">by </w:t>
      </w:r>
      <w:r>
        <w:rPr>
          <w:sz w:val="36"/>
          <w:lang w:val="en-US"/>
        </w:rPr>
        <w:t xml:space="preserve">certain </w:t>
      </w:r>
      <w:r>
        <w:rPr>
          <w:sz w:val="36"/>
          <w:lang w:val="en-US"/>
        </w:rPr>
        <w:t xml:space="preserve">redox </w:t>
      </w:r>
      <w:r>
        <w:rPr>
          <w:sz w:val="36"/>
          <w:lang w:val="en-US"/>
        </w:rPr>
        <w:t xml:space="preserve">proteins </w:t>
      </w:r>
      <w:r>
        <w:rPr>
          <w:sz w:val="36"/>
          <w:lang w:val="en-US"/>
        </w:rPr>
        <w:t xml:space="preserve">operative </w:t>
      </w:r>
      <w:r>
        <w:rPr>
          <w:sz w:val="36"/>
          <w:lang w:val="en-US"/>
        </w:rPr>
        <w:t xml:space="preserve">only </w:t>
      </w:r>
      <w:r>
        <w:rPr>
          <w:sz w:val="36"/>
          <w:lang w:val="en-US"/>
        </w:rPr>
        <w:t xml:space="preserve">in </w:t>
      </w:r>
      <w:r>
        <w:rPr>
          <w:sz w:val="36"/>
          <w:lang w:val="en-US"/>
        </w:rPr>
        <w:t xml:space="preserve">anaerobic </w:t>
      </w:r>
      <w:r>
        <w:rPr>
          <w:sz w:val="36"/>
          <w:lang w:val="en-US"/>
        </w:rPr>
        <w:t xml:space="preserve">microbes </w:t>
      </w:r>
      <w:r>
        <w:rPr>
          <w:sz w:val="36"/>
          <w:lang w:val="en-US"/>
        </w:rPr>
        <w:t xml:space="preserve">to a </w:t>
      </w:r>
      <w:r>
        <w:rPr>
          <w:sz w:val="36"/>
          <w:lang w:val="en-US"/>
        </w:rPr>
        <w:t xml:space="preserve">highly </w:t>
      </w:r>
      <w:r>
        <w:rPr>
          <w:sz w:val="36"/>
          <w:lang w:val="en-US"/>
        </w:rPr>
        <w:t xml:space="preserve">reactive </w:t>
      </w:r>
      <w:r>
        <w:rPr>
          <w:sz w:val="36"/>
          <w:lang w:val="en-US"/>
        </w:rPr>
        <w:t xml:space="preserve">nitro </w:t>
      </w:r>
      <w:r>
        <w:rPr>
          <w:sz w:val="36"/>
          <w:lang w:val="en-US"/>
        </w:rPr>
        <w:t xml:space="preserve">radical </w:t>
      </w:r>
      <w:r>
        <w:rPr>
          <w:sz w:val="36"/>
          <w:lang w:val="en-US"/>
        </w:rPr>
        <w:t xml:space="preserve">which </w:t>
      </w:r>
      <w:r>
        <w:rPr>
          <w:sz w:val="36"/>
          <w:lang w:val="en-US"/>
        </w:rPr>
        <w:t xml:space="preserve">exact </w:t>
      </w:r>
      <w:r>
        <w:rPr>
          <w:sz w:val="36"/>
          <w:lang w:val="en-US"/>
        </w:rPr>
        <w:t xml:space="preserve">cytotoxicity </w:t>
      </w:r>
      <w:r>
        <w:rPr>
          <w:sz w:val="36"/>
          <w:lang w:val="en-US"/>
        </w:rPr>
        <w:t xml:space="preserve">the </w:t>
      </w:r>
      <w:r>
        <w:rPr>
          <w:sz w:val="36"/>
          <w:lang w:val="en-US"/>
        </w:rPr>
        <w:t xml:space="preserve">nitro </w:t>
      </w:r>
      <w:r>
        <w:rPr>
          <w:sz w:val="36"/>
          <w:lang w:val="en-US"/>
        </w:rPr>
        <w:t xml:space="preserve">radical </w:t>
      </w:r>
      <w:r>
        <w:rPr>
          <w:sz w:val="36"/>
          <w:lang w:val="en-US"/>
        </w:rPr>
        <w:t xml:space="preserve">for </w:t>
      </w:r>
      <w:r>
        <w:rPr>
          <w:sz w:val="36"/>
          <w:lang w:val="en-US"/>
        </w:rPr>
        <w:t xml:space="preserve">metronidazole </w:t>
      </w:r>
      <w:r>
        <w:rPr>
          <w:sz w:val="36"/>
          <w:lang w:val="en-US"/>
        </w:rPr>
        <w:t xml:space="preserve">act </w:t>
      </w:r>
      <w:r>
        <w:rPr>
          <w:sz w:val="36"/>
          <w:lang w:val="en-US"/>
        </w:rPr>
        <w:t xml:space="preserve">as </w:t>
      </w:r>
      <w:r>
        <w:rPr>
          <w:sz w:val="36"/>
          <w:lang w:val="en-US"/>
        </w:rPr>
        <w:t xml:space="preserve">an </w:t>
      </w:r>
      <w:r>
        <w:rPr>
          <w:sz w:val="36"/>
          <w:lang w:val="en-US"/>
        </w:rPr>
        <w:t xml:space="preserve">electron </w:t>
      </w:r>
      <w:r>
        <w:rPr>
          <w:sz w:val="36"/>
          <w:lang w:val="en-US"/>
        </w:rPr>
        <w:t xml:space="preserve">sink </w:t>
      </w:r>
      <w:r>
        <w:rPr>
          <w:sz w:val="36"/>
          <w:lang w:val="en-US"/>
        </w:rPr>
        <w:t xml:space="preserve">which </w:t>
      </w:r>
      <w:r>
        <w:rPr>
          <w:sz w:val="36"/>
          <w:lang w:val="en-US"/>
        </w:rPr>
        <w:t xml:space="preserve">compete </w:t>
      </w:r>
      <w:r>
        <w:rPr>
          <w:sz w:val="36"/>
          <w:lang w:val="en-US"/>
        </w:rPr>
        <w:t xml:space="preserve">with </w:t>
      </w:r>
      <w:r>
        <w:rPr>
          <w:sz w:val="36"/>
          <w:lang w:val="en-US"/>
        </w:rPr>
        <w:t xml:space="preserve">the </w:t>
      </w:r>
      <w:r>
        <w:rPr>
          <w:sz w:val="36"/>
          <w:lang w:val="en-US"/>
        </w:rPr>
        <w:t xml:space="preserve">biological </w:t>
      </w:r>
      <w:r>
        <w:rPr>
          <w:sz w:val="36"/>
          <w:lang w:val="en-US"/>
        </w:rPr>
        <w:t xml:space="preserve">electron </w:t>
      </w:r>
      <w:r>
        <w:rPr>
          <w:sz w:val="36"/>
          <w:lang w:val="en-US"/>
        </w:rPr>
        <w:t xml:space="preserve">as </w:t>
      </w:r>
      <w:r>
        <w:rPr>
          <w:sz w:val="36"/>
          <w:lang w:val="en-US"/>
        </w:rPr>
        <w:t xml:space="preserve">receptor </w:t>
      </w:r>
      <w:r>
        <w:rPr>
          <w:sz w:val="36"/>
          <w:lang w:val="en-US"/>
        </w:rPr>
        <w:t xml:space="preserve">of </w:t>
      </w:r>
      <w:r>
        <w:rPr>
          <w:sz w:val="36"/>
          <w:lang w:val="en-US"/>
        </w:rPr>
        <w:t xml:space="preserve">anaerobic </w:t>
      </w:r>
      <w:r>
        <w:rPr>
          <w:sz w:val="36"/>
          <w:lang w:val="en-US"/>
        </w:rPr>
        <w:t xml:space="preserve">organism </w:t>
      </w:r>
      <w:r>
        <w:rPr>
          <w:sz w:val="36"/>
          <w:lang w:val="en-US"/>
        </w:rPr>
        <w:t xml:space="preserve">for </w:t>
      </w:r>
      <w:r>
        <w:rPr>
          <w:sz w:val="36"/>
          <w:lang w:val="en-US"/>
        </w:rPr>
        <w:t xml:space="preserve">the </w:t>
      </w:r>
      <w:r>
        <w:rPr>
          <w:sz w:val="36"/>
          <w:lang w:val="en-US"/>
        </w:rPr>
        <w:t xml:space="preserve">electrons </w:t>
      </w:r>
      <w:r>
        <w:rPr>
          <w:sz w:val="36"/>
          <w:lang w:val="en-US"/>
        </w:rPr>
        <w:t xml:space="preserve">generated </w:t>
      </w:r>
      <w:r>
        <w:rPr>
          <w:sz w:val="36"/>
          <w:lang w:val="en-US"/>
        </w:rPr>
        <w:t xml:space="preserve">by </w:t>
      </w:r>
      <w:r>
        <w:rPr>
          <w:sz w:val="36"/>
          <w:lang w:val="en-US"/>
        </w:rPr>
        <w:t xml:space="preserve">the </w:t>
      </w:r>
      <w:r>
        <w:rPr>
          <w:sz w:val="36"/>
          <w:lang w:val="en-US"/>
        </w:rPr>
        <w:t xml:space="preserve">pyruvate </w:t>
      </w:r>
      <w:r>
        <w:rPr>
          <w:sz w:val="36"/>
          <w:lang w:val="en-US"/>
        </w:rPr>
        <w:t xml:space="preserve">ferredoxine </w:t>
      </w:r>
      <w:r>
        <w:rPr>
          <w:sz w:val="36"/>
          <w:lang w:val="en-US"/>
        </w:rPr>
        <w:t xml:space="preserve">oxidoreductase </w:t>
      </w:r>
      <w:r>
        <w:rPr>
          <w:sz w:val="36"/>
          <w:lang w:val="en-US"/>
        </w:rPr>
        <w:t>enzyme. (</w:t>
      </w:r>
      <w:r>
        <w:rPr>
          <w:sz w:val="36"/>
          <w:lang w:val="en-US"/>
        </w:rPr>
        <w:t xml:space="preserve">PFOR) </w:t>
      </w:r>
      <w:r>
        <w:rPr>
          <w:sz w:val="36"/>
          <w:lang w:val="en-US"/>
        </w:rPr>
        <w:t>enzyme.</w:t>
      </w:r>
    </w:p>
    <w:sectPr>
      <w:headerReference w:type="default" r:id="rId14"/>
      <w:footerReference w:type="default" r:id="rId15"/>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Calibri Ligh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spacing w:after="0" w:line="240" w:lineRule="auto"/>
      <w:rPr>
        <w:sz w:val="48"/>
        <w:lang w:val="en-US"/>
      </w:rPr>
    </w:pPr>
  </w:p>
  <w:p>
    <w:pPr>
      <w:spacing w:after="0" w:line="240" w:lineRule="auto"/>
      <w:rPr>
        <w:sz w:val="48"/>
        <w:lang w:val="en-US"/>
      </w:rPr>
    </w:pPr>
  </w:p>
  <w:p>
    <w:pPr>
      <w:spacing w:after="0" w:line="240" w:lineRule="auto"/>
      <w:rPr>
        <w:sz w:val="48"/>
      </w:rPr>
    </w:pPr>
  </w:p>
  <w:p>
    <w:pPr>
      <w:spacing w:after="0" w:line="240" w:lineRule="auto"/>
      <w:rPr>
        <w:sz w:val="4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spacing w:after="0" w:line="240" w:lineRule="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bullet"/>
      <w:isLgl w:val="off"/>
      <w:suff w:val="tab"/>
      <w:lvlText w:val="-"/>
      <w:lvlJc w:val="left"/>
      <w:pPr>
        <w:ind w:left="1170" w:hanging="360"/>
      </w:pPr>
      <w:rPr>
        <w:rFonts w:ascii="Calibri" w:hAnsi="Calibri"/>
      </w:rPr>
    </w:lvl>
    <w:lvl w:ilvl="1">
      <w:start w:val="1"/>
      <w:numFmt w:val="bullet"/>
      <w:isLgl w:val="off"/>
      <w:suff w:val="tab"/>
      <w:lvlText w:val="o"/>
      <w:lvlJc w:val="left"/>
      <w:pPr>
        <w:ind w:left="1890" w:hanging="360"/>
      </w:pPr>
      <w:rPr>
        <w:rFonts w:ascii="Courier New" w:hAnsi="Courier New"/>
      </w:rPr>
    </w:lvl>
    <w:lvl w:ilvl="2">
      <w:start w:val="1"/>
      <w:numFmt w:val="bullet"/>
      <w:isLgl w:val="off"/>
      <w:suff w:val="tab"/>
      <w:lvlText w:val=""/>
      <w:lvlJc w:val="left"/>
      <w:pPr>
        <w:ind w:left="2610" w:hanging="360"/>
      </w:pPr>
      <w:rPr>
        <w:rFonts w:ascii="Wingdings" w:hAnsi="Wingdings"/>
      </w:rPr>
    </w:lvl>
    <w:lvl w:ilvl="3">
      <w:start w:val="1"/>
      <w:numFmt w:val="bullet"/>
      <w:isLgl w:val="off"/>
      <w:suff w:val="tab"/>
      <w:lvlText w:val=""/>
      <w:lvlJc w:val="left"/>
      <w:pPr>
        <w:ind w:left="3330" w:hanging="360"/>
      </w:pPr>
      <w:rPr>
        <w:rFonts w:ascii="Symbol" w:hAnsi="Symbol"/>
      </w:rPr>
    </w:lvl>
    <w:lvl w:ilvl="4">
      <w:start w:val="1"/>
      <w:numFmt w:val="bullet"/>
      <w:isLgl w:val="off"/>
      <w:suff w:val="tab"/>
      <w:lvlText w:val="o"/>
      <w:lvlJc w:val="left"/>
      <w:pPr>
        <w:ind w:left="4050" w:hanging="360"/>
      </w:pPr>
      <w:rPr>
        <w:rFonts w:ascii="Courier New" w:hAnsi="Courier New"/>
      </w:rPr>
    </w:lvl>
    <w:lvl w:ilvl="5">
      <w:start w:val="1"/>
      <w:numFmt w:val="bullet"/>
      <w:isLgl w:val="off"/>
      <w:suff w:val="tab"/>
      <w:lvlText w:val=""/>
      <w:lvlJc w:val="left"/>
      <w:pPr>
        <w:ind w:left="4770" w:hanging="360"/>
      </w:pPr>
      <w:rPr>
        <w:rFonts w:ascii="Wingdings" w:hAnsi="Wingdings"/>
      </w:rPr>
    </w:lvl>
    <w:lvl w:ilvl="6">
      <w:start w:val="1"/>
      <w:numFmt w:val="bullet"/>
      <w:isLgl w:val="off"/>
      <w:suff w:val="tab"/>
      <w:lvlText w:val=""/>
      <w:lvlJc w:val="left"/>
      <w:pPr>
        <w:ind w:left="5490" w:hanging="360"/>
      </w:pPr>
      <w:rPr>
        <w:rFonts w:ascii="Symbol" w:hAnsi="Symbol"/>
      </w:rPr>
    </w:lvl>
    <w:lvl w:ilvl="7">
      <w:start w:val="1"/>
      <w:numFmt w:val="bullet"/>
      <w:isLgl w:val="off"/>
      <w:suff w:val="tab"/>
      <w:lvlText w:val="o"/>
      <w:lvlJc w:val="left"/>
      <w:pPr>
        <w:ind w:left="6210" w:hanging="360"/>
      </w:pPr>
      <w:rPr>
        <w:rFonts w:ascii="Courier New" w:hAnsi="Courier New"/>
      </w:rPr>
    </w:lvl>
    <w:lvl w:ilvl="8">
      <w:start w:val="1"/>
      <w:numFmt w:val="bullet"/>
      <w:isLgl w:val="off"/>
      <w:suff w:val="tab"/>
      <w:lvlText w:val=""/>
      <w:lvlJc w:val="left"/>
      <w:pPr>
        <w:ind w:left="693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footnotePr/>
  <w:endnotePr/>
  <w:compat>
    <w:compatSetting w:name="compatibilityMode" w:uri="http://schemas.microsoft.com/office/word" w:val="14"/>
  </w:compat>
</w:settings>
</file>

<file path=word/styles.xml><?xml version="1.0" encoding="utf-8"?>
<w:styles xmlns:r="http://schemas.openxmlformats.org/officeDocument/2006/relationships" xmlns:w="http://schemas.openxmlformats.org/wordprocessingml/2006/main">
  <w:docDefaults>
    <w:rPrDefault>
      <w:rPr>
        <w:rFonts w:asciiTheme="minorHAnsi" w:cstheme="minorAscii" w:eastAsiaTheme="minorEastAsia" w:hAnsiTheme="minorBidi"/>
        <w:sz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1.xml"/><Relationship Id="rId2" Type="http://schemas.openxmlformats.org/officeDocument/2006/relationships/fontTable" Target="fontTable.xml"/><Relationship Id="rId3"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settings" Target="settings.xml"/><Relationship Id="rId8" Type="http://schemas.openxmlformats.org/officeDocument/2006/relationships/numbering" Target="numbering.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