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F1" w:rsidRDefault="00DB47F1" w:rsidP="00265B3A">
      <w:pPr>
        <w:spacing w:line="480" w:lineRule="auto"/>
        <w:jc w:val="both"/>
        <w:rPr>
          <w:rFonts w:ascii="Times New Roman" w:hAnsi="Times New Roman" w:cs="Times New Roman"/>
          <w:b/>
          <w:sz w:val="24"/>
          <w:szCs w:val="24"/>
        </w:rPr>
      </w:pPr>
      <w:r w:rsidRPr="00DB47F1">
        <w:rPr>
          <w:rFonts w:ascii="Times New Roman" w:hAnsi="Times New Roman" w:cs="Times New Roman"/>
          <w:b/>
          <w:sz w:val="24"/>
          <w:szCs w:val="24"/>
        </w:rPr>
        <w:t>MATRIC NO</w:t>
      </w:r>
      <w:r>
        <w:rPr>
          <w:rFonts w:ascii="Times New Roman" w:hAnsi="Times New Roman" w:cs="Times New Roman"/>
          <w:sz w:val="24"/>
          <w:szCs w:val="24"/>
        </w:rPr>
        <w:t xml:space="preserve">:  </w:t>
      </w:r>
      <w:r w:rsidRPr="00DB47F1">
        <w:rPr>
          <w:rFonts w:ascii="Times New Roman" w:hAnsi="Times New Roman" w:cs="Times New Roman"/>
          <w:b/>
          <w:sz w:val="24"/>
          <w:szCs w:val="24"/>
        </w:rPr>
        <w:t>16/SMS02/030</w:t>
      </w:r>
    </w:p>
    <w:p w:rsidR="00DB47F1" w:rsidRPr="00DB47F1" w:rsidRDefault="00DB47F1" w:rsidP="00265B3A">
      <w:pPr>
        <w:spacing w:line="480" w:lineRule="auto"/>
        <w:jc w:val="both"/>
        <w:rPr>
          <w:rFonts w:ascii="Times New Roman" w:hAnsi="Times New Roman" w:cs="Times New Roman"/>
          <w:b/>
          <w:sz w:val="24"/>
          <w:szCs w:val="24"/>
        </w:rPr>
      </w:pPr>
      <w:bookmarkStart w:id="0" w:name="_GoBack"/>
      <w:bookmarkEnd w:id="0"/>
    </w:p>
    <w:p w:rsidR="0012572A" w:rsidRPr="00265B3A" w:rsidRDefault="009A3494" w:rsidP="00265B3A">
      <w:pPr>
        <w:spacing w:line="480" w:lineRule="auto"/>
        <w:jc w:val="both"/>
        <w:rPr>
          <w:rFonts w:ascii="Times New Roman" w:hAnsi="Times New Roman" w:cs="Times New Roman"/>
          <w:b/>
          <w:sz w:val="24"/>
          <w:szCs w:val="24"/>
        </w:rPr>
      </w:pPr>
      <w:r w:rsidRPr="00265B3A">
        <w:rPr>
          <w:rFonts w:ascii="Times New Roman" w:hAnsi="Times New Roman" w:cs="Times New Roman"/>
          <w:sz w:val="24"/>
          <w:szCs w:val="24"/>
        </w:rPr>
        <w:t xml:space="preserve">            </w:t>
      </w:r>
      <w:r w:rsidRPr="00265B3A">
        <w:rPr>
          <w:rFonts w:ascii="Times New Roman" w:hAnsi="Times New Roman" w:cs="Times New Roman"/>
          <w:b/>
          <w:sz w:val="24"/>
          <w:szCs w:val="24"/>
        </w:rPr>
        <w:t>TRANSLATION OF FOREIGN CURRENCY FINANCIAL STATEMENTS</w:t>
      </w:r>
    </w:p>
    <w:p w:rsidR="009A3494" w:rsidRPr="00265B3A" w:rsidRDefault="009A3494" w:rsidP="00265B3A">
      <w:pPr>
        <w:spacing w:line="480" w:lineRule="auto"/>
        <w:jc w:val="both"/>
        <w:rPr>
          <w:rFonts w:ascii="Times New Roman" w:hAnsi="Times New Roman" w:cs="Times New Roman"/>
          <w:b/>
          <w:sz w:val="24"/>
          <w:szCs w:val="24"/>
        </w:rPr>
      </w:pPr>
      <w:r w:rsidRPr="00265B3A">
        <w:rPr>
          <w:rFonts w:ascii="Times New Roman" w:hAnsi="Times New Roman" w:cs="Times New Roman"/>
          <w:b/>
          <w:sz w:val="24"/>
          <w:szCs w:val="24"/>
        </w:rPr>
        <w:t>Statement of Financial Position Exposure</w:t>
      </w:r>
    </w:p>
    <w:p w:rsidR="009A3494" w:rsidRPr="00265B3A" w:rsidRDefault="00F268D4"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Translation adjustments are made during the process of converting an entity’s financial statements from its functional curre</w:t>
      </w:r>
      <w:r w:rsidR="00567184" w:rsidRPr="00265B3A">
        <w:rPr>
          <w:rFonts w:ascii="Times New Roman" w:hAnsi="Times New Roman" w:cs="Times New Roman"/>
          <w:sz w:val="24"/>
          <w:szCs w:val="24"/>
        </w:rPr>
        <w:t>ncy into its reporting currency</w:t>
      </w:r>
      <w:r w:rsidRPr="00265B3A">
        <w:rPr>
          <w:rFonts w:ascii="Times New Roman" w:hAnsi="Times New Roman" w:cs="Times New Roman"/>
          <w:sz w:val="24"/>
          <w:szCs w:val="24"/>
        </w:rPr>
        <w:t xml:space="preserve">. Exposure to translation adjustment is referred to as Statement of Financial Position translation or accounting exposure. The change in exchange rates affect assets and liabilities translated at the current exchange rate change in value from </w:t>
      </w:r>
      <w:r w:rsidR="003E54C9" w:rsidRPr="00265B3A">
        <w:rPr>
          <w:rFonts w:ascii="Times New Roman" w:hAnsi="Times New Roman" w:cs="Times New Roman"/>
          <w:sz w:val="24"/>
          <w:szCs w:val="24"/>
        </w:rPr>
        <w:t>the Statement</w:t>
      </w:r>
      <w:r w:rsidRPr="00265B3A">
        <w:rPr>
          <w:rFonts w:ascii="Times New Roman" w:hAnsi="Times New Roman" w:cs="Times New Roman"/>
          <w:sz w:val="24"/>
          <w:szCs w:val="24"/>
        </w:rPr>
        <w:t xml:space="preserve"> of Financial Position</w:t>
      </w:r>
      <w:r w:rsidR="003E54C9" w:rsidRPr="00265B3A">
        <w:rPr>
          <w:rFonts w:ascii="Times New Roman" w:hAnsi="Times New Roman" w:cs="Times New Roman"/>
          <w:sz w:val="24"/>
          <w:szCs w:val="24"/>
        </w:rPr>
        <w:t xml:space="preserve"> of the subsidiary to the parent company reporting currency are exposed to translation adjustment. Items in the Statement of Financial Position translated at historical exchange rates are not exposed to translation adjustment. Transaction exposure can be compared with </w:t>
      </w:r>
      <w:r w:rsidR="00E03A52" w:rsidRPr="00265B3A">
        <w:rPr>
          <w:rFonts w:ascii="Times New Roman" w:hAnsi="Times New Roman" w:cs="Times New Roman"/>
          <w:sz w:val="24"/>
          <w:szCs w:val="24"/>
        </w:rPr>
        <w:t>Statement of Financial Position exposure.</w:t>
      </w:r>
    </w:p>
    <w:p w:rsidR="007B6EB8" w:rsidRPr="00265B3A" w:rsidRDefault="00F062A2"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 xml:space="preserve">A separate transaction adjustment exists for each of these exposed items. However, positive translation adjustments on asset when the foreign currency appreciates are balanced by negative translation adjustment on liabilities. </w:t>
      </w:r>
    </w:p>
    <w:p w:rsidR="007B6EB8" w:rsidRPr="00265B3A" w:rsidRDefault="007B6EB8"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There are four major and widely used methods of translating foreign currenc</w:t>
      </w:r>
      <w:r w:rsidR="00567184" w:rsidRPr="00265B3A">
        <w:rPr>
          <w:rFonts w:ascii="Times New Roman" w:hAnsi="Times New Roman" w:cs="Times New Roman"/>
          <w:sz w:val="24"/>
          <w:szCs w:val="24"/>
        </w:rPr>
        <w:t>y financial statements</w:t>
      </w:r>
    </w:p>
    <w:p w:rsidR="00B835A0" w:rsidRPr="00265B3A" w:rsidRDefault="00B835A0" w:rsidP="00265B3A">
      <w:pPr>
        <w:pStyle w:val="ListParagraph"/>
        <w:numPr>
          <w:ilvl w:val="0"/>
          <w:numId w:val="2"/>
        </w:num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Current/non-current method</w:t>
      </w:r>
    </w:p>
    <w:p w:rsidR="00B835A0" w:rsidRPr="00265B3A" w:rsidRDefault="00B835A0" w:rsidP="00265B3A">
      <w:pPr>
        <w:pStyle w:val="ListParagraph"/>
        <w:numPr>
          <w:ilvl w:val="0"/>
          <w:numId w:val="2"/>
        </w:num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 xml:space="preserve">Monetary/non-monetary method </w:t>
      </w:r>
    </w:p>
    <w:p w:rsidR="00C22563" w:rsidRPr="00265B3A" w:rsidRDefault="00C22563" w:rsidP="00265B3A">
      <w:pPr>
        <w:pStyle w:val="ListParagraph"/>
        <w:numPr>
          <w:ilvl w:val="0"/>
          <w:numId w:val="2"/>
        </w:num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Temporal method</w:t>
      </w:r>
    </w:p>
    <w:p w:rsidR="00C22563" w:rsidRPr="00265B3A" w:rsidRDefault="00C22563" w:rsidP="00265B3A">
      <w:pPr>
        <w:pStyle w:val="ListParagraph"/>
        <w:numPr>
          <w:ilvl w:val="0"/>
          <w:numId w:val="2"/>
        </w:num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Current rate (or closing rate) method</w:t>
      </w:r>
    </w:p>
    <w:p w:rsidR="00C22563" w:rsidRPr="00265B3A" w:rsidRDefault="00C22563" w:rsidP="00265B3A">
      <w:pPr>
        <w:spacing w:line="480" w:lineRule="auto"/>
        <w:jc w:val="both"/>
        <w:rPr>
          <w:rFonts w:ascii="Times New Roman" w:hAnsi="Times New Roman" w:cs="Times New Roman"/>
          <w:b/>
          <w:sz w:val="24"/>
          <w:szCs w:val="24"/>
        </w:rPr>
      </w:pPr>
      <w:r w:rsidRPr="00265B3A">
        <w:rPr>
          <w:rFonts w:ascii="Times New Roman" w:hAnsi="Times New Roman" w:cs="Times New Roman"/>
          <w:b/>
          <w:sz w:val="24"/>
          <w:szCs w:val="24"/>
        </w:rPr>
        <w:lastRenderedPageBreak/>
        <w:t>Current/Non-current Method</w:t>
      </w:r>
    </w:p>
    <w:p w:rsidR="00C22563" w:rsidRPr="00265B3A" w:rsidRDefault="00C22563"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The rules for the current method are as follows: current assets and current liabilities are translated at the current exchange rate: non-current assets, non-current liabilities, and stockholders’ equity accounts are translated at historical exchange rates.</w:t>
      </w:r>
    </w:p>
    <w:p w:rsidR="00E5634A" w:rsidRPr="00265B3A" w:rsidRDefault="00C22563" w:rsidP="00265B3A">
      <w:pPr>
        <w:spacing w:line="480" w:lineRule="auto"/>
        <w:jc w:val="both"/>
        <w:rPr>
          <w:rFonts w:ascii="Times New Roman" w:hAnsi="Times New Roman" w:cs="Times New Roman"/>
          <w:b/>
          <w:sz w:val="24"/>
          <w:szCs w:val="24"/>
        </w:rPr>
      </w:pPr>
      <w:r w:rsidRPr="00265B3A">
        <w:rPr>
          <w:rFonts w:ascii="Times New Roman" w:hAnsi="Times New Roman" w:cs="Times New Roman"/>
          <w:b/>
          <w:sz w:val="24"/>
          <w:szCs w:val="24"/>
        </w:rPr>
        <w:t xml:space="preserve">Monetary/Non-monetary </w:t>
      </w:r>
      <w:r w:rsidR="00E5634A" w:rsidRPr="00265B3A">
        <w:rPr>
          <w:rFonts w:ascii="Times New Roman" w:hAnsi="Times New Roman" w:cs="Times New Roman"/>
          <w:b/>
          <w:sz w:val="24"/>
          <w:szCs w:val="24"/>
        </w:rPr>
        <w:t>Method</w:t>
      </w:r>
    </w:p>
    <w:p w:rsidR="00E62EE9" w:rsidRPr="00265B3A" w:rsidRDefault="00E5634A"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Under this method, monetary assets and liabilities are translated at the current exchange rates; nonmonetary assets, nonmonetary liabilities, and stockholders’ equity accounts are translated at historical exchange rates</w:t>
      </w:r>
      <w:r w:rsidR="00E62EE9" w:rsidRPr="00265B3A">
        <w:rPr>
          <w:rFonts w:ascii="Times New Roman" w:hAnsi="Times New Roman" w:cs="Times New Roman"/>
          <w:sz w:val="24"/>
          <w:szCs w:val="24"/>
        </w:rPr>
        <w:t>. Under the monetary/nonmonetary method, cash, receivables, and payables carried on the foreign operation’s Statement of Financial Position are exposed to foreign</w:t>
      </w:r>
      <w:r w:rsidR="00284150" w:rsidRPr="00265B3A">
        <w:rPr>
          <w:rFonts w:ascii="Times New Roman" w:hAnsi="Times New Roman" w:cs="Times New Roman"/>
          <w:sz w:val="24"/>
          <w:szCs w:val="24"/>
        </w:rPr>
        <w:t xml:space="preserve"> exchange risk.</w:t>
      </w:r>
      <w:r w:rsidR="00E62EE9" w:rsidRPr="00265B3A">
        <w:rPr>
          <w:rFonts w:ascii="Times New Roman" w:hAnsi="Times New Roman" w:cs="Times New Roman"/>
          <w:sz w:val="24"/>
          <w:szCs w:val="24"/>
        </w:rPr>
        <w:t xml:space="preserve"> One way to understand the concept of exposure underlying the monetary/nonmonetary method is to assume that the foreign operation’s cash, receivables, and payables are actually foreign currency assets and liabilities of the parent company.</w:t>
      </w:r>
    </w:p>
    <w:p w:rsidR="00284150" w:rsidRPr="00265B3A" w:rsidRDefault="00E62EE9" w:rsidP="00265B3A">
      <w:pPr>
        <w:spacing w:line="480" w:lineRule="auto"/>
        <w:jc w:val="both"/>
        <w:rPr>
          <w:rFonts w:ascii="Times New Roman" w:hAnsi="Times New Roman" w:cs="Times New Roman"/>
          <w:b/>
          <w:sz w:val="24"/>
          <w:szCs w:val="24"/>
        </w:rPr>
      </w:pPr>
      <w:r w:rsidRPr="00265B3A">
        <w:rPr>
          <w:rFonts w:ascii="Times New Roman" w:hAnsi="Times New Roman" w:cs="Times New Roman"/>
          <w:b/>
          <w:sz w:val="24"/>
          <w:szCs w:val="24"/>
        </w:rPr>
        <w:t>Temporal method</w:t>
      </w:r>
    </w:p>
    <w:p w:rsidR="00E62EE9" w:rsidRPr="00265B3A" w:rsidRDefault="00E62EE9"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The basic objective underlying the temporal method of translation is to produce a set of parent currency translated financial statements as if the foreign subsidiary had actually used the parent currency in conducting its operations.</w:t>
      </w:r>
    </w:p>
    <w:p w:rsidR="00E62EE9" w:rsidRPr="00265B3A" w:rsidRDefault="00E62EE9" w:rsidP="00265B3A">
      <w:pPr>
        <w:spacing w:line="480" w:lineRule="auto"/>
        <w:jc w:val="both"/>
        <w:rPr>
          <w:rFonts w:ascii="Times New Roman" w:hAnsi="Times New Roman" w:cs="Times New Roman"/>
          <w:b/>
          <w:sz w:val="24"/>
          <w:szCs w:val="24"/>
        </w:rPr>
      </w:pPr>
      <w:r w:rsidRPr="00265B3A">
        <w:rPr>
          <w:rFonts w:ascii="Times New Roman" w:hAnsi="Times New Roman" w:cs="Times New Roman"/>
          <w:b/>
          <w:sz w:val="24"/>
          <w:szCs w:val="24"/>
        </w:rPr>
        <w:t>Current Rate Method</w:t>
      </w:r>
    </w:p>
    <w:p w:rsidR="00E62EE9" w:rsidRPr="00265B3A" w:rsidRDefault="00E62EE9"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 xml:space="preserve">The fundamental concept underlying the current rate method is that a parent’s entire investment in a foreign operation is exposed to foreign exchange risk and translation of the foreign operation’s financial statements should reflect this risk. To measure the net investment’s exposure to foreign exchange risk: </w:t>
      </w:r>
    </w:p>
    <w:p w:rsidR="00E62EE9" w:rsidRPr="00265B3A" w:rsidRDefault="00E62EE9"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lastRenderedPageBreak/>
        <w:t xml:space="preserve">i. All assets and liabilities of the foreign operation are translated using the current exchange rate. ii. Equity accounts are translated at historical exchange rates. </w:t>
      </w:r>
    </w:p>
    <w:p w:rsidR="00567184" w:rsidRPr="00265B3A" w:rsidRDefault="00E62EE9"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 xml:space="preserve">The Statement of Financial Position exposure measured by the current rate method is equal to the foreign operation’s net asset position (total assets minus total liabilities). A positive translation adjustment results when the foreign currency appreciates, and a negative translation adjustment results when the foreign currency depreciates (assuming that assets exceed liabilities). </w:t>
      </w:r>
    </w:p>
    <w:p w:rsidR="00E62EE9" w:rsidRPr="00265B3A" w:rsidRDefault="00E62EE9"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 xml:space="preserve">The current rate method and the temporal method are the two methods required to be used under IAS 21, The Effects of Changes in Foreign Exchange Rates.  </w:t>
      </w:r>
    </w:p>
    <w:p w:rsidR="00E62EE9" w:rsidRPr="00265B3A" w:rsidRDefault="00E62EE9" w:rsidP="00265B3A">
      <w:pPr>
        <w:spacing w:line="480" w:lineRule="auto"/>
        <w:jc w:val="both"/>
        <w:rPr>
          <w:rFonts w:ascii="Times New Roman" w:hAnsi="Times New Roman" w:cs="Times New Roman"/>
          <w:sz w:val="24"/>
          <w:szCs w:val="24"/>
        </w:rPr>
      </w:pPr>
    </w:p>
    <w:p w:rsidR="00E62EE9" w:rsidRPr="00265B3A" w:rsidRDefault="00E62EE9" w:rsidP="00265B3A">
      <w:pPr>
        <w:spacing w:line="480" w:lineRule="auto"/>
        <w:jc w:val="both"/>
        <w:rPr>
          <w:rFonts w:ascii="Times New Roman" w:hAnsi="Times New Roman" w:cs="Times New Roman"/>
          <w:sz w:val="24"/>
          <w:szCs w:val="24"/>
        </w:rPr>
      </w:pPr>
    </w:p>
    <w:p w:rsidR="00E62EE9" w:rsidRPr="00265B3A" w:rsidRDefault="00E62EE9" w:rsidP="00265B3A">
      <w:pPr>
        <w:spacing w:line="480" w:lineRule="auto"/>
        <w:jc w:val="both"/>
        <w:rPr>
          <w:rFonts w:ascii="Times New Roman" w:hAnsi="Times New Roman" w:cs="Times New Roman"/>
          <w:sz w:val="24"/>
          <w:szCs w:val="24"/>
        </w:rPr>
      </w:pPr>
    </w:p>
    <w:p w:rsidR="00C22563" w:rsidRPr="00265B3A" w:rsidRDefault="00C22563" w:rsidP="00265B3A">
      <w:pPr>
        <w:spacing w:line="480" w:lineRule="auto"/>
        <w:jc w:val="both"/>
        <w:rPr>
          <w:rFonts w:ascii="Times New Roman" w:hAnsi="Times New Roman" w:cs="Times New Roman"/>
          <w:sz w:val="24"/>
          <w:szCs w:val="24"/>
        </w:rPr>
      </w:pPr>
      <w:r w:rsidRPr="00265B3A">
        <w:rPr>
          <w:rFonts w:ascii="Times New Roman" w:hAnsi="Times New Roman" w:cs="Times New Roman"/>
          <w:sz w:val="24"/>
          <w:szCs w:val="24"/>
        </w:rPr>
        <w:t xml:space="preserve">  </w:t>
      </w:r>
    </w:p>
    <w:p w:rsidR="007B6EB8" w:rsidRPr="00265B3A" w:rsidRDefault="007B6EB8" w:rsidP="00265B3A">
      <w:pPr>
        <w:spacing w:line="480" w:lineRule="auto"/>
        <w:jc w:val="both"/>
        <w:rPr>
          <w:rFonts w:ascii="Times New Roman" w:hAnsi="Times New Roman" w:cs="Times New Roman"/>
          <w:sz w:val="24"/>
          <w:szCs w:val="24"/>
        </w:rPr>
      </w:pPr>
    </w:p>
    <w:sectPr w:rsidR="007B6EB8" w:rsidRPr="0026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27EB"/>
    <w:multiLevelType w:val="hybridMultilevel"/>
    <w:tmpl w:val="4B4C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7235B"/>
    <w:multiLevelType w:val="hybridMultilevel"/>
    <w:tmpl w:val="DA4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1"/>
    <w:rsid w:val="00070F51"/>
    <w:rsid w:val="0012572A"/>
    <w:rsid w:val="00265B3A"/>
    <w:rsid w:val="00284150"/>
    <w:rsid w:val="003B59A5"/>
    <w:rsid w:val="003E54C9"/>
    <w:rsid w:val="005573CE"/>
    <w:rsid w:val="00567184"/>
    <w:rsid w:val="00612077"/>
    <w:rsid w:val="007B6EB8"/>
    <w:rsid w:val="00803430"/>
    <w:rsid w:val="009A3494"/>
    <w:rsid w:val="00B835A0"/>
    <w:rsid w:val="00C22563"/>
    <w:rsid w:val="00DB47F1"/>
    <w:rsid w:val="00E03A52"/>
    <w:rsid w:val="00E367E2"/>
    <w:rsid w:val="00E5634A"/>
    <w:rsid w:val="00E62EE9"/>
    <w:rsid w:val="00F062A2"/>
    <w:rsid w:val="00F2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30"/>
    <w:pPr>
      <w:ind w:left="720"/>
      <w:contextualSpacing/>
    </w:pPr>
  </w:style>
  <w:style w:type="character" w:customStyle="1" w:styleId="Heading1Char">
    <w:name w:val="Heading 1 Char"/>
    <w:basedOn w:val="DefaultParagraphFont"/>
    <w:link w:val="Heading1"/>
    <w:uiPriority w:val="9"/>
    <w:rsid w:val="006120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30"/>
    <w:pPr>
      <w:ind w:left="720"/>
      <w:contextualSpacing/>
    </w:pPr>
  </w:style>
  <w:style w:type="character" w:customStyle="1" w:styleId="Heading1Char">
    <w:name w:val="Heading 1 Char"/>
    <w:basedOn w:val="DefaultParagraphFont"/>
    <w:link w:val="Heading1"/>
    <w:uiPriority w:val="9"/>
    <w:rsid w:val="006120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2020-04-12T08:56:00Z</dcterms:created>
  <dcterms:modified xsi:type="dcterms:W3CDTF">2020-04-12T20:12:00Z</dcterms:modified>
</cp:coreProperties>
</file>