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2A" w:rsidRDefault="0099752A">
      <w:pPr>
        <w:rPr>
          <w:b/>
        </w:rPr>
      </w:pPr>
      <w:r>
        <w:rPr>
          <w:b/>
        </w:rPr>
        <w:t>BENSON GABRIEL   MATRIC NO: 17/ENG02/015   COMPUTER ENGINEERING</w:t>
      </w:r>
    </w:p>
    <w:p w:rsidR="00A972F0" w:rsidRPr="0099752A" w:rsidRDefault="0099752A">
      <w:pPr>
        <w:rPr>
          <w:b/>
        </w:rPr>
      </w:pPr>
      <w:r>
        <w:rPr>
          <w:b/>
        </w:rPr>
        <w:t>PATENT</w:t>
      </w:r>
    </w:p>
    <w:p w:rsidR="0099752A" w:rsidRDefault="0099752A">
      <w:pPr>
        <w:rPr>
          <w:rStyle w:val="e24kjd"/>
        </w:rPr>
      </w:pPr>
      <w:r>
        <w:rPr>
          <w:rStyle w:val="e24kjd"/>
        </w:rPr>
        <w:t xml:space="preserve">          </w:t>
      </w:r>
      <w:r w:rsidRPr="0099752A">
        <w:rPr>
          <w:rStyle w:val="e24kjd"/>
        </w:rPr>
        <w:t xml:space="preserve">A </w:t>
      </w:r>
      <w:r w:rsidRPr="0099752A">
        <w:rPr>
          <w:rStyle w:val="e24kjd"/>
          <w:bCs/>
        </w:rPr>
        <w:t>patent</w:t>
      </w:r>
      <w:r w:rsidRPr="0099752A">
        <w:rPr>
          <w:rStyle w:val="e24kjd"/>
        </w:rPr>
        <w:t xml:space="preserve"> is a form of intellectual </w:t>
      </w:r>
      <w:r w:rsidRPr="0099752A">
        <w:rPr>
          <w:rStyle w:val="e24kjd"/>
          <w:bCs/>
        </w:rPr>
        <w:t>property</w:t>
      </w:r>
      <w:r w:rsidRPr="0099752A">
        <w:rPr>
          <w:rStyle w:val="e24kjd"/>
        </w:rPr>
        <w:t xml:space="preserve"> that</w:t>
      </w:r>
      <w:r>
        <w:rPr>
          <w:rStyle w:val="e24kjd"/>
        </w:rPr>
        <w:t xml:space="preserve"> gives its owner the legal right to exclude others from making, using, selling and importing an invention for a limited period of years, in exchange for publishing an enabling public disclosure of the invention.</w:t>
      </w:r>
    </w:p>
    <w:p w:rsidR="0099752A" w:rsidRPr="0099752A" w:rsidRDefault="0099752A">
      <w:pPr>
        <w:rPr>
          <w:rStyle w:val="e24kjd"/>
          <w:b/>
        </w:rPr>
      </w:pPr>
      <w:r w:rsidRPr="0099752A">
        <w:rPr>
          <w:rStyle w:val="e24kjd"/>
          <w:b/>
        </w:rPr>
        <w:t>TRADEMARK</w:t>
      </w:r>
    </w:p>
    <w:p w:rsidR="0099752A" w:rsidRPr="0099752A" w:rsidRDefault="0099752A">
      <w:pPr>
        <w:rPr>
          <w:color w:val="000000" w:themeColor="text1"/>
        </w:rPr>
      </w:pPr>
      <w:r w:rsidRPr="0099752A">
        <w:rPr>
          <w:color w:val="000000" w:themeColor="text1"/>
        </w:rPr>
        <w:t xml:space="preserve">       A </w:t>
      </w:r>
      <w:r w:rsidRPr="0099752A">
        <w:rPr>
          <w:bCs/>
          <w:color w:val="000000" w:themeColor="text1"/>
        </w:rPr>
        <w:t>trademark</w:t>
      </w:r>
      <w:r w:rsidRPr="0099752A">
        <w:rPr>
          <w:color w:val="000000" w:themeColor="text1"/>
        </w:rPr>
        <w:t xml:space="preserve"> (also written </w:t>
      </w:r>
      <w:r w:rsidRPr="0099752A">
        <w:rPr>
          <w:bCs/>
          <w:color w:val="000000" w:themeColor="text1"/>
        </w:rPr>
        <w:t>trade mark</w:t>
      </w:r>
      <w:r w:rsidRPr="0099752A">
        <w:rPr>
          <w:color w:val="000000" w:themeColor="text1"/>
        </w:rPr>
        <w:t xml:space="preserve"> or </w:t>
      </w:r>
      <w:r w:rsidRPr="0099752A">
        <w:rPr>
          <w:bCs/>
          <w:color w:val="000000" w:themeColor="text1"/>
        </w:rPr>
        <w:t>trade-mark</w:t>
      </w:r>
      <w:r w:rsidRPr="0099752A">
        <w:rPr>
          <w:color w:val="000000" w:themeColor="text1"/>
        </w:rPr>
        <w:t xml:space="preserve">) is a type of </w:t>
      </w:r>
      <w:hyperlink r:id="rId4" w:tooltip="Intellectual property" w:history="1">
        <w:r w:rsidRPr="0099752A">
          <w:rPr>
            <w:rStyle w:val="Hyperlink"/>
            <w:color w:val="000000" w:themeColor="text1"/>
            <w:u w:val="none"/>
          </w:rPr>
          <w:t>intellectual property</w:t>
        </w:r>
      </w:hyperlink>
      <w:r w:rsidRPr="0099752A">
        <w:rPr>
          <w:color w:val="000000" w:themeColor="text1"/>
        </w:rPr>
        <w:t xml:space="preserve"> consisting of a recognizable </w:t>
      </w:r>
      <w:hyperlink r:id="rId5" w:tooltip="Sign (semiotics)" w:history="1">
        <w:r w:rsidRPr="0099752A">
          <w:rPr>
            <w:rStyle w:val="Hyperlink"/>
            <w:color w:val="000000" w:themeColor="text1"/>
            <w:u w:val="none"/>
          </w:rPr>
          <w:t>sign</w:t>
        </w:r>
      </w:hyperlink>
      <w:r w:rsidRPr="0099752A">
        <w:rPr>
          <w:color w:val="000000" w:themeColor="text1"/>
        </w:rPr>
        <w:t xml:space="preserve">, </w:t>
      </w:r>
      <w:hyperlink r:id="rId6" w:tooltip="Design" w:history="1">
        <w:r w:rsidRPr="0099752A">
          <w:rPr>
            <w:rStyle w:val="Hyperlink"/>
            <w:color w:val="000000" w:themeColor="text1"/>
            <w:u w:val="none"/>
          </w:rPr>
          <w:t>design</w:t>
        </w:r>
      </w:hyperlink>
      <w:r w:rsidRPr="0099752A">
        <w:rPr>
          <w:color w:val="000000" w:themeColor="text1"/>
        </w:rPr>
        <w:t xml:space="preserve">, or </w:t>
      </w:r>
      <w:hyperlink r:id="rId7" w:tooltip="Expression (language)" w:history="1">
        <w:r w:rsidRPr="0099752A">
          <w:rPr>
            <w:rStyle w:val="Hyperlink"/>
            <w:color w:val="000000" w:themeColor="text1"/>
            <w:u w:val="none"/>
          </w:rPr>
          <w:t>expression</w:t>
        </w:r>
      </w:hyperlink>
      <w:r w:rsidRPr="0099752A">
        <w:rPr>
          <w:color w:val="000000" w:themeColor="text1"/>
        </w:rPr>
        <w:t xml:space="preserve"> which identifies </w:t>
      </w:r>
      <w:hyperlink r:id="rId8" w:tooltip="Good (economics and accounting)" w:history="1">
        <w:r w:rsidRPr="0099752A">
          <w:rPr>
            <w:rStyle w:val="Hyperlink"/>
            <w:color w:val="000000" w:themeColor="text1"/>
            <w:u w:val="none"/>
          </w:rPr>
          <w:t>products</w:t>
        </w:r>
      </w:hyperlink>
      <w:r w:rsidRPr="0099752A">
        <w:rPr>
          <w:color w:val="000000" w:themeColor="text1"/>
        </w:rPr>
        <w:t xml:space="preserve"> or </w:t>
      </w:r>
      <w:hyperlink r:id="rId9" w:tooltip="Service economies" w:history="1">
        <w:r w:rsidRPr="0099752A">
          <w:rPr>
            <w:rStyle w:val="Hyperlink"/>
            <w:color w:val="000000" w:themeColor="text1"/>
            <w:u w:val="none"/>
          </w:rPr>
          <w:t>services</w:t>
        </w:r>
      </w:hyperlink>
      <w:r w:rsidRPr="0099752A">
        <w:rPr>
          <w:color w:val="000000" w:themeColor="text1"/>
        </w:rPr>
        <w:t xml:space="preserve"> of a particular source from those of others, although trademarks used to identify services are usually called </w:t>
      </w:r>
      <w:hyperlink r:id="rId10" w:tooltip="Service mark" w:history="1">
        <w:r w:rsidRPr="0099752A">
          <w:rPr>
            <w:rStyle w:val="Hyperlink"/>
            <w:color w:val="000000" w:themeColor="text1"/>
            <w:u w:val="none"/>
          </w:rPr>
          <w:t>service marks</w:t>
        </w:r>
      </w:hyperlink>
      <w:r w:rsidRPr="0099752A">
        <w:rPr>
          <w:color w:val="000000" w:themeColor="text1"/>
        </w:rPr>
        <w:t xml:space="preserve">. The trademark owner can be an individual, </w:t>
      </w:r>
      <w:hyperlink r:id="rId11" w:tooltip="Business organizations" w:history="1">
        <w:r w:rsidRPr="0099752A">
          <w:rPr>
            <w:rStyle w:val="Hyperlink"/>
            <w:color w:val="000000" w:themeColor="text1"/>
            <w:u w:val="none"/>
          </w:rPr>
          <w:t>business organization</w:t>
        </w:r>
      </w:hyperlink>
      <w:r w:rsidRPr="0099752A">
        <w:rPr>
          <w:color w:val="000000" w:themeColor="text1"/>
        </w:rPr>
        <w:t xml:space="preserve">, or any </w:t>
      </w:r>
      <w:hyperlink r:id="rId12" w:tooltip="Juristic person" w:history="1">
        <w:r w:rsidRPr="0099752A">
          <w:rPr>
            <w:rStyle w:val="Hyperlink"/>
            <w:color w:val="000000" w:themeColor="text1"/>
            <w:u w:val="none"/>
          </w:rPr>
          <w:t>legal entity</w:t>
        </w:r>
      </w:hyperlink>
      <w:r w:rsidRPr="0099752A">
        <w:rPr>
          <w:color w:val="000000" w:themeColor="text1"/>
        </w:rPr>
        <w:t xml:space="preserve">. A trademark may be located on a </w:t>
      </w:r>
      <w:hyperlink r:id="rId13" w:tooltip="Packaging and labeling" w:history="1">
        <w:r w:rsidRPr="0099752A">
          <w:rPr>
            <w:rStyle w:val="Hyperlink"/>
            <w:color w:val="000000" w:themeColor="text1"/>
            <w:u w:val="none"/>
          </w:rPr>
          <w:t>package</w:t>
        </w:r>
      </w:hyperlink>
      <w:r w:rsidRPr="0099752A">
        <w:rPr>
          <w:color w:val="000000" w:themeColor="text1"/>
        </w:rPr>
        <w:t xml:space="preserve">, a </w:t>
      </w:r>
      <w:hyperlink r:id="rId14" w:tooltip="Label" w:history="1">
        <w:r w:rsidRPr="0099752A">
          <w:rPr>
            <w:rStyle w:val="Hyperlink"/>
            <w:color w:val="000000" w:themeColor="text1"/>
            <w:u w:val="none"/>
          </w:rPr>
          <w:t>label</w:t>
        </w:r>
      </w:hyperlink>
      <w:r w:rsidRPr="0099752A">
        <w:rPr>
          <w:color w:val="000000" w:themeColor="text1"/>
        </w:rPr>
        <w:t xml:space="preserve">, a </w:t>
      </w:r>
      <w:hyperlink r:id="rId15" w:tooltip="Voucher" w:history="1">
        <w:r w:rsidRPr="0099752A">
          <w:rPr>
            <w:rStyle w:val="Hyperlink"/>
            <w:color w:val="000000" w:themeColor="text1"/>
            <w:u w:val="none"/>
          </w:rPr>
          <w:t>voucher</w:t>
        </w:r>
      </w:hyperlink>
      <w:r w:rsidRPr="0099752A">
        <w:rPr>
          <w:color w:val="000000" w:themeColor="text1"/>
        </w:rPr>
        <w:t xml:space="preserve">, or on the product itself. For the sake of </w:t>
      </w:r>
      <w:hyperlink r:id="rId16" w:tooltip="Corporate identity" w:history="1">
        <w:r w:rsidRPr="0099752A">
          <w:rPr>
            <w:rStyle w:val="Hyperlink"/>
            <w:color w:val="000000" w:themeColor="text1"/>
            <w:u w:val="none"/>
          </w:rPr>
          <w:t>corporate identity</w:t>
        </w:r>
      </w:hyperlink>
      <w:r w:rsidRPr="0099752A">
        <w:rPr>
          <w:color w:val="000000" w:themeColor="text1"/>
        </w:rPr>
        <w:t xml:space="preserve">, trademarks are often displayed on company buildings. It is legally recognized as a type of </w:t>
      </w:r>
      <w:hyperlink r:id="rId17" w:tooltip="Intellectual property" w:history="1">
        <w:r w:rsidRPr="0099752A">
          <w:rPr>
            <w:rStyle w:val="Hyperlink"/>
            <w:color w:val="000000" w:themeColor="text1"/>
            <w:u w:val="none"/>
          </w:rPr>
          <w:t>intellectual property</w:t>
        </w:r>
      </w:hyperlink>
      <w:r w:rsidRPr="0099752A">
        <w:rPr>
          <w:color w:val="000000" w:themeColor="text1"/>
        </w:rPr>
        <w:t>.</w:t>
      </w:r>
    </w:p>
    <w:p w:rsidR="0099752A" w:rsidRPr="0099752A" w:rsidRDefault="0099752A">
      <w:pPr>
        <w:rPr>
          <w:b/>
          <w:color w:val="000000" w:themeColor="text1"/>
        </w:rPr>
      </w:pPr>
      <w:r w:rsidRPr="0099752A">
        <w:rPr>
          <w:b/>
          <w:color w:val="000000" w:themeColor="text1"/>
        </w:rPr>
        <w:t>COPYRIGHT</w:t>
      </w:r>
    </w:p>
    <w:p w:rsidR="0099752A" w:rsidRDefault="0099752A">
      <w:pPr>
        <w:rPr>
          <w:rStyle w:val="e24kjd"/>
        </w:rPr>
      </w:pPr>
      <w:r>
        <w:rPr>
          <w:rStyle w:val="e24kjd"/>
          <w:b/>
          <w:bCs/>
        </w:rPr>
        <w:t xml:space="preserve">      </w:t>
      </w:r>
      <w:r w:rsidRPr="0099752A">
        <w:rPr>
          <w:rStyle w:val="e24kjd"/>
          <w:bCs/>
        </w:rPr>
        <w:t>A Copyright</w:t>
      </w:r>
      <w:r w:rsidRPr="0099752A">
        <w:rPr>
          <w:rStyle w:val="e24kjd"/>
        </w:rPr>
        <w:t xml:space="preserve">, a form of intellectual </w:t>
      </w:r>
      <w:r w:rsidRPr="0099752A">
        <w:rPr>
          <w:rStyle w:val="e24kjd"/>
          <w:bCs/>
        </w:rPr>
        <w:t>property law</w:t>
      </w:r>
      <w:r w:rsidRPr="0099752A">
        <w:rPr>
          <w:rStyle w:val="e24kjd"/>
        </w:rPr>
        <w:t>, protects original works of authorship including literary, dramatic, musical, and artistic works, such as poetry, novels, movies, songs, computer software, and architecture.</w:t>
      </w:r>
    </w:p>
    <w:p w:rsidR="0099752A" w:rsidRPr="00714474" w:rsidRDefault="0099752A">
      <w:pPr>
        <w:rPr>
          <w:rStyle w:val="e24kjd"/>
          <w:b/>
        </w:rPr>
      </w:pPr>
      <w:r w:rsidRPr="00714474">
        <w:rPr>
          <w:rStyle w:val="e24kjd"/>
          <w:b/>
        </w:rPr>
        <w:t>TRADE SECRET</w:t>
      </w:r>
    </w:p>
    <w:p w:rsidR="0099752A" w:rsidRPr="0099752A" w:rsidRDefault="0099752A">
      <w:pPr>
        <w:rPr>
          <w:color w:val="000000" w:themeColor="text1"/>
        </w:rPr>
      </w:pPr>
      <w:r>
        <w:rPr>
          <w:b/>
          <w:bCs/>
        </w:rPr>
        <w:t xml:space="preserve">      </w:t>
      </w:r>
      <w:r w:rsidRPr="0099752A">
        <w:rPr>
          <w:bCs/>
          <w:color w:val="000000" w:themeColor="text1"/>
        </w:rPr>
        <w:t>Trade secrets</w:t>
      </w:r>
      <w:r w:rsidRPr="0099752A">
        <w:rPr>
          <w:color w:val="000000" w:themeColor="text1"/>
        </w:rPr>
        <w:t xml:space="preserve"> are a type of </w:t>
      </w:r>
      <w:hyperlink r:id="rId18" w:tooltip="Intellectual property" w:history="1">
        <w:r w:rsidRPr="0099752A">
          <w:rPr>
            <w:rStyle w:val="Hyperlink"/>
            <w:color w:val="000000" w:themeColor="text1"/>
            <w:u w:val="none"/>
          </w:rPr>
          <w:t>intellectual property</w:t>
        </w:r>
      </w:hyperlink>
      <w:r w:rsidRPr="0099752A">
        <w:rPr>
          <w:color w:val="000000" w:themeColor="text1"/>
        </w:rPr>
        <w:t xml:space="preserve"> that comprise </w:t>
      </w:r>
      <w:hyperlink r:id="rId19" w:tooltip="Formula" w:history="1">
        <w:r w:rsidRPr="0099752A">
          <w:rPr>
            <w:rStyle w:val="Hyperlink"/>
            <w:color w:val="000000" w:themeColor="text1"/>
            <w:u w:val="none"/>
          </w:rPr>
          <w:t>formulas</w:t>
        </w:r>
      </w:hyperlink>
      <w:r w:rsidRPr="0099752A">
        <w:rPr>
          <w:color w:val="000000" w:themeColor="text1"/>
        </w:rPr>
        <w:t xml:space="preserve">, </w:t>
      </w:r>
      <w:hyperlink r:id="rId20" w:tooltip="Best practice" w:history="1">
        <w:r w:rsidRPr="0099752A">
          <w:rPr>
            <w:rStyle w:val="Hyperlink"/>
            <w:color w:val="000000" w:themeColor="text1"/>
            <w:u w:val="none"/>
          </w:rPr>
          <w:t>practices</w:t>
        </w:r>
      </w:hyperlink>
      <w:r w:rsidRPr="0099752A">
        <w:rPr>
          <w:color w:val="000000" w:themeColor="text1"/>
        </w:rPr>
        <w:t xml:space="preserve">, </w:t>
      </w:r>
      <w:hyperlink r:id="rId21" w:tooltip="Business process" w:history="1">
        <w:r w:rsidRPr="0099752A">
          <w:rPr>
            <w:rStyle w:val="Hyperlink"/>
            <w:color w:val="000000" w:themeColor="text1"/>
            <w:u w:val="none"/>
          </w:rPr>
          <w:t>processes</w:t>
        </w:r>
      </w:hyperlink>
      <w:r w:rsidRPr="0099752A">
        <w:rPr>
          <w:color w:val="000000" w:themeColor="text1"/>
        </w:rPr>
        <w:t xml:space="preserve">, </w:t>
      </w:r>
      <w:hyperlink r:id="rId22" w:tooltip="Design" w:history="1">
        <w:r w:rsidRPr="0099752A">
          <w:rPr>
            <w:rStyle w:val="Hyperlink"/>
            <w:color w:val="000000" w:themeColor="text1"/>
            <w:u w:val="none"/>
          </w:rPr>
          <w:t>designs</w:t>
        </w:r>
      </w:hyperlink>
      <w:r w:rsidRPr="0099752A">
        <w:rPr>
          <w:color w:val="000000" w:themeColor="text1"/>
        </w:rPr>
        <w:t xml:space="preserve">, </w:t>
      </w:r>
      <w:hyperlink r:id="rId23" w:tooltip="Legal instrument" w:history="1">
        <w:r w:rsidRPr="0099752A">
          <w:rPr>
            <w:rStyle w:val="Hyperlink"/>
            <w:color w:val="000000" w:themeColor="text1"/>
            <w:u w:val="none"/>
          </w:rPr>
          <w:t>instruments</w:t>
        </w:r>
      </w:hyperlink>
      <w:r w:rsidRPr="0099752A">
        <w:rPr>
          <w:color w:val="000000" w:themeColor="text1"/>
        </w:rPr>
        <w:t xml:space="preserve">, </w:t>
      </w:r>
      <w:hyperlink r:id="rId24" w:tooltip="Pattern" w:history="1">
        <w:r w:rsidRPr="0099752A">
          <w:rPr>
            <w:rStyle w:val="Hyperlink"/>
            <w:color w:val="000000" w:themeColor="text1"/>
            <w:u w:val="none"/>
          </w:rPr>
          <w:t>patterns</w:t>
        </w:r>
      </w:hyperlink>
      <w:r w:rsidRPr="0099752A">
        <w:rPr>
          <w:color w:val="000000" w:themeColor="text1"/>
        </w:rPr>
        <w:t xml:space="preserve">, or compilations of information that have inherent economic value because they are not generally known or readily ascertainable by others, and which the owner takes reasonable measures to keep secret. In some </w:t>
      </w:r>
      <w:hyperlink r:id="rId25" w:tooltip="Jurisdiction" w:history="1">
        <w:r w:rsidRPr="0099752A">
          <w:rPr>
            <w:rStyle w:val="Hyperlink"/>
            <w:color w:val="000000" w:themeColor="text1"/>
            <w:u w:val="none"/>
          </w:rPr>
          <w:t>jurisdictions</w:t>
        </w:r>
      </w:hyperlink>
      <w:r w:rsidRPr="0099752A">
        <w:rPr>
          <w:color w:val="000000" w:themeColor="text1"/>
        </w:rPr>
        <w:t xml:space="preserve">, such secrets are referred to as </w:t>
      </w:r>
      <w:hyperlink r:id="rId26" w:tooltip="Confidential information" w:history="1">
        <w:r w:rsidRPr="0099752A">
          <w:rPr>
            <w:rStyle w:val="Hyperlink"/>
            <w:iCs/>
            <w:color w:val="000000" w:themeColor="text1"/>
            <w:u w:val="none"/>
          </w:rPr>
          <w:t>confidential information</w:t>
        </w:r>
      </w:hyperlink>
      <w:r w:rsidRPr="0099752A">
        <w:rPr>
          <w:color w:val="000000" w:themeColor="text1"/>
        </w:rPr>
        <w:t>.</w:t>
      </w:r>
    </w:p>
    <w:sectPr w:rsidR="0099752A" w:rsidRPr="0099752A" w:rsidSect="00A972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9752A"/>
    <w:rsid w:val="00714474"/>
    <w:rsid w:val="0099752A"/>
    <w:rsid w:val="00A972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72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99752A"/>
  </w:style>
  <w:style w:type="character" w:styleId="Hyperlink">
    <w:name w:val="Hyperlink"/>
    <w:basedOn w:val="DefaultParagraphFont"/>
    <w:uiPriority w:val="99"/>
    <w:semiHidden/>
    <w:unhideWhenUsed/>
    <w:rsid w:val="0099752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Good_%28economics_and_accounting%29" TargetMode="External"/><Relationship Id="rId13" Type="http://schemas.openxmlformats.org/officeDocument/2006/relationships/hyperlink" Target="https://en.wikipedia.org/wiki/Packaging_and_labeling" TargetMode="External"/><Relationship Id="rId18" Type="http://schemas.openxmlformats.org/officeDocument/2006/relationships/hyperlink" Target="https://en.wikipedia.org/wiki/Intellectual_property" TargetMode="External"/><Relationship Id="rId26" Type="http://schemas.openxmlformats.org/officeDocument/2006/relationships/hyperlink" Target="https://en.wikipedia.org/wiki/Confidential_information" TargetMode="External"/><Relationship Id="rId3" Type="http://schemas.openxmlformats.org/officeDocument/2006/relationships/webSettings" Target="webSettings.xml"/><Relationship Id="rId21" Type="http://schemas.openxmlformats.org/officeDocument/2006/relationships/hyperlink" Target="https://en.wikipedia.org/wiki/Business_process" TargetMode="External"/><Relationship Id="rId7" Type="http://schemas.openxmlformats.org/officeDocument/2006/relationships/hyperlink" Target="https://en.wikipedia.org/wiki/Expression_%28language%29" TargetMode="External"/><Relationship Id="rId12" Type="http://schemas.openxmlformats.org/officeDocument/2006/relationships/hyperlink" Target="https://en.wikipedia.org/wiki/Juristic_person" TargetMode="External"/><Relationship Id="rId17" Type="http://schemas.openxmlformats.org/officeDocument/2006/relationships/hyperlink" Target="https://en.wikipedia.org/wiki/Intellectual_property" TargetMode="External"/><Relationship Id="rId25" Type="http://schemas.openxmlformats.org/officeDocument/2006/relationships/hyperlink" Target="https://en.wikipedia.org/wiki/Jurisdiction" TargetMode="External"/><Relationship Id="rId2" Type="http://schemas.openxmlformats.org/officeDocument/2006/relationships/settings" Target="settings.xml"/><Relationship Id="rId16" Type="http://schemas.openxmlformats.org/officeDocument/2006/relationships/hyperlink" Target="https://en.wikipedia.org/wiki/Corporate_identity" TargetMode="External"/><Relationship Id="rId20" Type="http://schemas.openxmlformats.org/officeDocument/2006/relationships/hyperlink" Target="https://en.wikipedia.org/wiki/Best_practice" TargetMode="External"/><Relationship Id="rId1" Type="http://schemas.openxmlformats.org/officeDocument/2006/relationships/styles" Target="styles.xml"/><Relationship Id="rId6" Type="http://schemas.openxmlformats.org/officeDocument/2006/relationships/hyperlink" Target="https://en.wikipedia.org/wiki/Design" TargetMode="External"/><Relationship Id="rId11" Type="http://schemas.openxmlformats.org/officeDocument/2006/relationships/hyperlink" Target="https://en.wikipedia.org/wiki/Business_organizations" TargetMode="External"/><Relationship Id="rId24" Type="http://schemas.openxmlformats.org/officeDocument/2006/relationships/hyperlink" Target="https://en.wikipedia.org/wiki/Pattern" TargetMode="External"/><Relationship Id="rId5" Type="http://schemas.openxmlformats.org/officeDocument/2006/relationships/hyperlink" Target="https://en.wikipedia.org/wiki/Sign_%28semiotics%29" TargetMode="External"/><Relationship Id="rId15" Type="http://schemas.openxmlformats.org/officeDocument/2006/relationships/hyperlink" Target="https://en.wikipedia.org/wiki/Voucher" TargetMode="External"/><Relationship Id="rId23" Type="http://schemas.openxmlformats.org/officeDocument/2006/relationships/hyperlink" Target="https://en.wikipedia.org/wiki/Legal_instrument" TargetMode="External"/><Relationship Id="rId28" Type="http://schemas.openxmlformats.org/officeDocument/2006/relationships/theme" Target="theme/theme1.xml"/><Relationship Id="rId10" Type="http://schemas.openxmlformats.org/officeDocument/2006/relationships/hyperlink" Target="https://en.wikipedia.org/wiki/Service_mark" TargetMode="External"/><Relationship Id="rId19" Type="http://schemas.openxmlformats.org/officeDocument/2006/relationships/hyperlink" Target="https://en.wikipedia.org/wiki/Formula" TargetMode="External"/><Relationship Id="rId4" Type="http://schemas.openxmlformats.org/officeDocument/2006/relationships/hyperlink" Target="https://en.wikipedia.org/wiki/Intellectual_property" TargetMode="External"/><Relationship Id="rId9" Type="http://schemas.openxmlformats.org/officeDocument/2006/relationships/hyperlink" Target="https://en.wikipedia.org/wiki/Service_economies" TargetMode="External"/><Relationship Id="rId14" Type="http://schemas.openxmlformats.org/officeDocument/2006/relationships/hyperlink" Target="https://en.wikipedia.org/wiki/Label" TargetMode="External"/><Relationship Id="rId22" Type="http://schemas.openxmlformats.org/officeDocument/2006/relationships/hyperlink" Target="https://en.wikipedia.org/wiki/Desig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2020-04-12T21:21:00Z</dcterms:created>
  <dcterms:modified xsi:type="dcterms:W3CDTF">2020-04-12T21:41:00Z</dcterms:modified>
</cp:coreProperties>
</file>