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2E82" w14:textId="77777777" w:rsidR="00E66CD5" w:rsidRDefault="00E66CD5" w:rsidP="00E66CD5">
      <w:pPr>
        <w:pStyle w:val="NormalWeb"/>
        <w:shd w:val="clear" w:color="auto" w:fill="FFFFFF"/>
        <w:spacing w:before="0" w:beforeAutospacing="0" w:after="150" w:afterAutospacing="0"/>
        <w:rPr>
          <w:rFonts w:ascii="Georgia" w:hAnsi="Georgia"/>
          <w:b/>
          <w:color w:val="333333"/>
        </w:rPr>
      </w:pPr>
      <w:r>
        <w:rPr>
          <w:rFonts w:ascii="Georgia" w:hAnsi="Georgia"/>
          <w:b/>
          <w:color w:val="333333"/>
        </w:rPr>
        <w:t>NAME: EREH DEBORAH EKOJONWA</w:t>
      </w:r>
    </w:p>
    <w:p w14:paraId="03D93D43" w14:textId="400FD5BB" w:rsidR="006176F9" w:rsidRDefault="00E66CD5" w:rsidP="00E66CD5">
      <w:pPr>
        <w:pStyle w:val="NormalWeb"/>
        <w:shd w:val="clear" w:color="auto" w:fill="FFFFFF"/>
        <w:spacing w:before="0" w:beforeAutospacing="0" w:after="150" w:afterAutospacing="0"/>
        <w:rPr>
          <w:rFonts w:ascii="Georgia" w:hAnsi="Georgia"/>
          <w:b/>
          <w:color w:val="333333"/>
        </w:rPr>
      </w:pPr>
      <w:r>
        <w:rPr>
          <w:rFonts w:ascii="Georgia" w:hAnsi="Georgia"/>
          <w:b/>
          <w:color w:val="333333"/>
        </w:rPr>
        <w:t>MATRIC NO: 17/SCI05/005</w:t>
      </w:r>
    </w:p>
    <w:p w14:paraId="3A874F16" w14:textId="73F1C4E6" w:rsidR="006176F9" w:rsidRPr="00E66CD5" w:rsidRDefault="006176F9" w:rsidP="00E66CD5">
      <w:pPr>
        <w:pStyle w:val="NormalWeb"/>
        <w:shd w:val="clear" w:color="auto" w:fill="FFFFFF"/>
        <w:spacing w:before="0" w:beforeAutospacing="0" w:after="150" w:afterAutospacing="0"/>
        <w:rPr>
          <w:rFonts w:ascii="Georgia" w:hAnsi="Georgia"/>
          <w:b/>
          <w:color w:val="333333"/>
        </w:rPr>
      </w:pPr>
      <w:r>
        <w:rPr>
          <w:rFonts w:ascii="Georgia" w:hAnsi="Georgia"/>
          <w:b/>
          <w:color w:val="333333"/>
        </w:rPr>
        <w:t>COURSE: PHA 312</w:t>
      </w:r>
    </w:p>
    <w:p w14:paraId="3B86C380" w14:textId="77777777" w:rsidR="00E66CD5" w:rsidRDefault="00E66CD5" w:rsidP="00E66CD5">
      <w:pPr>
        <w:pStyle w:val="NormalWeb"/>
        <w:shd w:val="clear" w:color="auto" w:fill="FFFFFF"/>
        <w:spacing w:before="0" w:beforeAutospacing="0" w:after="150" w:afterAutospacing="0"/>
        <w:rPr>
          <w:rFonts w:ascii="Georgia" w:hAnsi="Georgia"/>
          <w:color w:val="333333"/>
        </w:rPr>
      </w:pPr>
    </w:p>
    <w:p w14:paraId="3C06DCCB" w14:textId="77777777" w:rsidR="00E66CD5" w:rsidRPr="00022FB6" w:rsidRDefault="00E66CD5" w:rsidP="00E66CD5">
      <w:pPr>
        <w:pStyle w:val="NormalWeb"/>
        <w:shd w:val="clear" w:color="auto" w:fill="FFFFFF"/>
        <w:spacing w:before="0" w:beforeAutospacing="0" w:after="150" w:afterAutospacing="0"/>
        <w:rPr>
          <w:rFonts w:ascii="Georgia" w:hAnsi="Georgia"/>
        </w:rPr>
      </w:pPr>
    </w:p>
    <w:p w14:paraId="6E5122AC" w14:textId="1D1B9774" w:rsidR="00E66CD5" w:rsidRPr="00022FB6" w:rsidRDefault="006176F9" w:rsidP="00E66CD5">
      <w:pPr>
        <w:pStyle w:val="NormalWeb"/>
        <w:shd w:val="clear" w:color="auto" w:fill="FFFFFF"/>
        <w:spacing w:before="0" w:beforeAutospacing="0" w:after="150" w:afterAutospacing="0"/>
        <w:rPr>
          <w:rFonts w:ascii="Georgia" w:hAnsi="Georgia"/>
        </w:rPr>
      </w:pPr>
      <w:r w:rsidRPr="00022FB6">
        <w:rPr>
          <w:rFonts w:ascii="Georgia" w:hAnsi="Georgia"/>
        </w:rPr>
        <w:t xml:space="preserve">ASSIGNMENT </w:t>
      </w:r>
    </w:p>
    <w:p w14:paraId="39AC12E7" w14:textId="27D6BCD2" w:rsidR="00E66CD5" w:rsidRPr="00022FB6" w:rsidRDefault="00E66CD5" w:rsidP="00BB1AAE">
      <w:pPr>
        <w:pStyle w:val="NormalWeb"/>
        <w:numPr>
          <w:ilvl w:val="0"/>
          <w:numId w:val="4"/>
        </w:numPr>
        <w:shd w:val="clear" w:color="auto" w:fill="FFFFFF"/>
        <w:spacing w:before="0" w:beforeAutospacing="0" w:after="150" w:afterAutospacing="0"/>
        <w:rPr>
          <w:rFonts w:ascii="Georgia" w:hAnsi="Georgia"/>
        </w:rPr>
      </w:pPr>
      <w:r w:rsidRPr="00022FB6">
        <w:rPr>
          <w:rFonts w:ascii="Georgia" w:hAnsi="Georgia"/>
        </w:rPr>
        <w:t>Draw and explain the life cycle of the malaria parasite.</w:t>
      </w:r>
    </w:p>
    <w:p w14:paraId="195DE97C" w14:textId="52657636" w:rsidR="00E66CD5" w:rsidRPr="00022FB6" w:rsidRDefault="00E66CD5" w:rsidP="00BB1AAE">
      <w:pPr>
        <w:pStyle w:val="NormalWeb"/>
        <w:numPr>
          <w:ilvl w:val="0"/>
          <w:numId w:val="4"/>
        </w:numPr>
        <w:shd w:val="clear" w:color="auto" w:fill="FFFFFF"/>
        <w:spacing w:before="0" w:beforeAutospacing="0" w:after="150" w:afterAutospacing="0"/>
        <w:rPr>
          <w:rFonts w:ascii="Georgia" w:hAnsi="Georgia"/>
        </w:rPr>
      </w:pPr>
      <w:r w:rsidRPr="00022FB6">
        <w:rPr>
          <w:rFonts w:ascii="Georgia" w:hAnsi="Georgia"/>
        </w:rPr>
        <w:t>Mention two major classification of antiamoebic drugs</w:t>
      </w:r>
    </w:p>
    <w:p w14:paraId="42D2EB0D" w14:textId="31672BC1" w:rsidR="00E66CD5" w:rsidRPr="00022FB6" w:rsidRDefault="00E66CD5" w:rsidP="00BB1AAE">
      <w:pPr>
        <w:pStyle w:val="NormalWeb"/>
        <w:numPr>
          <w:ilvl w:val="0"/>
          <w:numId w:val="4"/>
        </w:numPr>
        <w:shd w:val="clear" w:color="auto" w:fill="FFFFFF"/>
        <w:spacing w:before="0" w:beforeAutospacing="0" w:after="150" w:afterAutospacing="0"/>
        <w:rPr>
          <w:rFonts w:ascii="Georgia" w:hAnsi="Georgia"/>
        </w:rPr>
      </w:pPr>
      <w:r w:rsidRPr="00022FB6">
        <w:rPr>
          <w:rFonts w:ascii="Georgia" w:hAnsi="Georgia"/>
        </w:rPr>
        <w:t>Highlight the name of the drugs used under each group and give appropriate examples.</w:t>
      </w:r>
    </w:p>
    <w:p w14:paraId="3090239F" w14:textId="353F231E" w:rsidR="00E66CD5" w:rsidRPr="00022FB6" w:rsidRDefault="00E66CD5" w:rsidP="00BB1AAE">
      <w:pPr>
        <w:pStyle w:val="NormalWeb"/>
        <w:numPr>
          <w:ilvl w:val="0"/>
          <w:numId w:val="4"/>
        </w:numPr>
        <w:shd w:val="clear" w:color="auto" w:fill="FFFFFF"/>
        <w:spacing w:before="0" w:beforeAutospacing="0" w:after="150" w:afterAutospacing="0"/>
        <w:rPr>
          <w:rFonts w:ascii="Georgia" w:hAnsi="Georgia"/>
        </w:rPr>
      </w:pPr>
      <w:r w:rsidRPr="00022FB6">
        <w:rPr>
          <w:rFonts w:ascii="Georgia" w:hAnsi="Georgia"/>
        </w:rPr>
        <w:t>Explain vividly the mechanism of action of Metronidazole</w:t>
      </w:r>
    </w:p>
    <w:p w14:paraId="51CAA518" w14:textId="77777777" w:rsidR="00514172" w:rsidRDefault="00514172" w:rsidP="00E66CD5">
      <w:pPr>
        <w:pStyle w:val="NormalWeb"/>
        <w:shd w:val="clear" w:color="auto" w:fill="FFFFFF"/>
        <w:spacing w:before="0" w:beforeAutospacing="0" w:after="150" w:afterAutospacing="0"/>
        <w:rPr>
          <w:rFonts w:ascii="Georgia" w:hAnsi="Georgia"/>
          <w:color w:val="333333"/>
        </w:rPr>
      </w:pPr>
    </w:p>
    <w:p w14:paraId="64BC93A6" w14:textId="09673D5D" w:rsidR="00083D1F" w:rsidRPr="008075A2" w:rsidRDefault="00A1458B" w:rsidP="008075A2">
      <w:pPr>
        <w:pStyle w:val="ListParagraph"/>
        <w:widowControl w:val="0"/>
        <w:numPr>
          <w:ilvl w:val="0"/>
          <w:numId w:val="3"/>
        </w:numPr>
        <w:autoSpaceDE w:val="0"/>
        <w:autoSpaceDN w:val="0"/>
        <w:adjustRightInd w:val="0"/>
        <w:rPr>
          <w:rFonts w:ascii="Georgia" w:hAnsi="Georgia" w:cs="Helvetica Neue"/>
        </w:rPr>
      </w:pPr>
      <w:r w:rsidRPr="008075A2">
        <w:rPr>
          <w:rFonts w:ascii="Georgia" w:hAnsi="Georgia" w:cs="Helvetica Neue"/>
        </w:rPr>
        <w:t>The malaria parasite life cycle involves two hosts. During a blood meal, a malaria-infected female Anopheles mosquito inoculates sporozoites into the human host </w:t>
      </w:r>
    </w:p>
    <w:p w14:paraId="3FB6BFC2" w14:textId="77777777" w:rsidR="00974A1C" w:rsidRPr="00974A1C" w:rsidRDefault="00974A1C" w:rsidP="00083D1F">
      <w:pPr>
        <w:pStyle w:val="ListParagraph"/>
        <w:widowControl w:val="0"/>
        <w:autoSpaceDE w:val="0"/>
        <w:autoSpaceDN w:val="0"/>
        <w:adjustRightInd w:val="0"/>
        <w:rPr>
          <w:rFonts w:ascii="Georgia" w:hAnsi="Georgia" w:cs="Helvetica Neue"/>
        </w:rPr>
      </w:pPr>
    </w:p>
    <w:p w14:paraId="662ADE1C" w14:textId="77777777" w:rsidR="003C6174" w:rsidRDefault="00A1458B" w:rsidP="00974A1C">
      <w:pPr>
        <w:pStyle w:val="ListParagraph"/>
        <w:widowControl w:val="0"/>
        <w:autoSpaceDE w:val="0"/>
        <w:autoSpaceDN w:val="0"/>
        <w:adjustRightInd w:val="0"/>
        <w:ind w:firstLine="720"/>
        <w:rPr>
          <w:rFonts w:ascii="Georgia" w:hAnsi="Georgia" w:cs="Helvetica Neue"/>
        </w:rPr>
      </w:pPr>
      <w:r w:rsidRPr="00974A1C">
        <w:rPr>
          <w:rFonts w:ascii="Georgia" w:hAnsi="Georgia" w:cs="Helvetica Neue"/>
        </w:rPr>
        <w:t xml:space="preserve">Sporozoites infect liver cells and mature into </w:t>
      </w:r>
      <w:r w:rsidR="005D4529" w:rsidRPr="00974A1C">
        <w:rPr>
          <w:rFonts w:ascii="Georgia" w:hAnsi="Georgia" w:cs="Helvetica Neue"/>
        </w:rPr>
        <w:t>schizonts, which</w:t>
      </w:r>
      <w:r w:rsidRPr="00974A1C">
        <w:rPr>
          <w:rFonts w:ascii="Georgia" w:hAnsi="Georgia" w:cs="Helvetica Neue"/>
        </w:rPr>
        <w:t xml:space="preserve"> rupture </w:t>
      </w:r>
    </w:p>
    <w:p w14:paraId="17F72D60" w14:textId="1597CB7D" w:rsidR="00A1458B" w:rsidRDefault="00A1458B" w:rsidP="00D754D6">
      <w:pPr>
        <w:pStyle w:val="ListParagraph"/>
        <w:widowControl w:val="0"/>
        <w:autoSpaceDE w:val="0"/>
        <w:autoSpaceDN w:val="0"/>
        <w:adjustRightInd w:val="0"/>
        <w:rPr>
          <w:rFonts w:ascii="Georgia" w:hAnsi="Georgia" w:cs="Helvetica Neue"/>
        </w:rPr>
      </w:pPr>
      <w:r w:rsidRPr="00974A1C">
        <w:rPr>
          <w:rFonts w:ascii="Georgia" w:hAnsi="Georgia" w:cs="Helvetica Neue"/>
        </w:rPr>
        <w:t>and release merozoites . (Of note, in P. vivax and P. ovale a dormant stage [hypnozoites] can persist in the liver and cause relapses by invading the bloodstream weeks, or even years later.) After this initial replication in the liver (exo-erythrocytic schizogony ), the parasites undergo asexual multiplication in the erythr</w:t>
      </w:r>
      <w:r w:rsidR="00FE3368" w:rsidRPr="00974A1C">
        <w:rPr>
          <w:rFonts w:ascii="Georgia" w:hAnsi="Georgia" w:cs="Helvetica Neue"/>
        </w:rPr>
        <w:t xml:space="preserve">ocytes (erythrocytic schizogony </w:t>
      </w:r>
      <w:r w:rsidRPr="00974A1C">
        <w:rPr>
          <w:rFonts w:ascii="Georgia" w:hAnsi="Georgia" w:cs="Helvetica Neue"/>
        </w:rPr>
        <w:t xml:space="preserve">). Merozoites infect red blood </w:t>
      </w:r>
      <w:r w:rsidR="003C6174" w:rsidRPr="00974A1C">
        <w:rPr>
          <w:rFonts w:ascii="Georgia" w:hAnsi="Georgia" w:cs="Helvetica Neue"/>
        </w:rPr>
        <w:t>cells.</w:t>
      </w:r>
      <w:r w:rsidRPr="00974A1C">
        <w:rPr>
          <w:rFonts w:ascii="Georgia" w:hAnsi="Georgia" w:cs="Helvetica Neue"/>
        </w:rPr>
        <w:t xml:space="preserve"> The ring stage trophozoites mature into schizonts, which rupture releasing merozoites . Some parasites differentiate into sexual erythrocytic stages (gametocytes</w:t>
      </w:r>
      <w:r w:rsidR="005D4529" w:rsidRPr="00974A1C">
        <w:rPr>
          <w:rFonts w:ascii="Georgia" w:hAnsi="Georgia" w:cs="Helvetica Neue"/>
        </w:rPr>
        <w:t>).</w:t>
      </w:r>
      <w:r w:rsidRPr="00974A1C">
        <w:rPr>
          <w:rFonts w:ascii="Georgia" w:hAnsi="Georgia" w:cs="Helvetica Neue"/>
        </w:rPr>
        <w:t xml:space="preserve"> Blood stage parasites are responsible for the clinical manifestations of the disease.The gametocytes, male (microgametocytes) and female (macrogametocytes), are ingested by an Anopheles mosquito during a blood meal. The parasites’ multiplication in the mosquito is known as the sporogonic cycle C. While in the mosquito's stomach, the microgametes penetrate the macrogametes generating zygotes . The zygotes in turn become motile and elongated (ookinetes)  which invade the midgut wall of the mosquito where they develop into oocysts. The oocysts grow, rupture, and release sporozoites, which make their way to the mosquito's salivary glands. Inoculation of the sporozoites into a new human host perpetuates the malaria life cycle.</w:t>
      </w:r>
    </w:p>
    <w:p w14:paraId="2E2543E5" w14:textId="77777777" w:rsidR="0036108D" w:rsidRPr="00974A1C" w:rsidRDefault="0036108D" w:rsidP="00D754D6">
      <w:pPr>
        <w:pStyle w:val="ListParagraph"/>
        <w:widowControl w:val="0"/>
        <w:autoSpaceDE w:val="0"/>
        <w:autoSpaceDN w:val="0"/>
        <w:adjustRightInd w:val="0"/>
        <w:rPr>
          <w:rFonts w:ascii="Georgia" w:hAnsi="Georgia" w:cs="Helvetica Neue"/>
        </w:rPr>
      </w:pPr>
    </w:p>
    <w:p w14:paraId="24B352B2" w14:textId="0C6FEF53" w:rsidR="00EF7AB9" w:rsidRPr="00974A1C" w:rsidRDefault="0007088D" w:rsidP="00083D1F">
      <w:pPr>
        <w:pStyle w:val="NormalWeb"/>
        <w:shd w:val="clear" w:color="auto" w:fill="FFFFFF"/>
        <w:spacing w:before="0" w:beforeAutospacing="0" w:after="150" w:afterAutospacing="0"/>
        <w:ind w:left="720"/>
        <w:rPr>
          <w:rFonts w:ascii="Georgia" w:hAnsi="Georgia"/>
          <w:color w:val="333333"/>
        </w:rPr>
      </w:pPr>
    </w:p>
    <w:p w14:paraId="0B636554" w14:textId="3A796553" w:rsidR="00886277" w:rsidRDefault="001F2B50">
      <w:pPr>
        <w:rPr>
          <w:rFonts w:ascii="Georgia" w:hAnsi="Georgia"/>
        </w:rPr>
      </w:pPr>
      <w:r w:rsidRPr="001F2B50">
        <w:rPr>
          <w:rFonts w:ascii="Georgia" w:hAnsi="Georgia"/>
          <w:noProof/>
          <w:lang w:eastAsia="en-GB"/>
        </w:rPr>
        <w:lastRenderedPageBreak/>
        <w:drawing>
          <wp:inline distT="0" distB="0" distL="0" distR="0" wp14:anchorId="5E30FFC9" wp14:editId="72A4DA67">
            <wp:extent cx="5859100" cy="44602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76645" cy="4473596"/>
                    </a:xfrm>
                    <a:prstGeom prst="rect">
                      <a:avLst/>
                    </a:prstGeom>
                  </pic:spPr>
                </pic:pic>
              </a:graphicData>
            </a:graphic>
          </wp:inline>
        </w:drawing>
      </w:r>
    </w:p>
    <w:p w14:paraId="79047034" w14:textId="67BE3FAE" w:rsidR="00F6008D" w:rsidRDefault="00F6008D" w:rsidP="0007088D">
      <w:pPr>
        <w:pStyle w:val="NormalWeb"/>
        <w:shd w:val="clear" w:color="auto" w:fill="FFFFFF"/>
        <w:spacing w:before="0" w:beforeAutospacing="0" w:after="150" w:afterAutospacing="0"/>
        <w:rPr>
          <w:rFonts w:ascii="Georgia" w:hAnsi="Georgia" w:cstheme="minorBidi"/>
          <w:lang w:eastAsia="en-US"/>
        </w:rPr>
      </w:pPr>
    </w:p>
    <w:p w14:paraId="089DE329" w14:textId="6F2CFA33" w:rsidR="0007088D" w:rsidRDefault="0007088D" w:rsidP="0007088D">
      <w:pPr>
        <w:pStyle w:val="NormalWeb"/>
        <w:numPr>
          <w:ilvl w:val="0"/>
          <w:numId w:val="3"/>
        </w:numPr>
        <w:shd w:val="clear" w:color="auto" w:fill="FFFFFF"/>
        <w:spacing w:before="0" w:beforeAutospacing="0" w:after="150" w:afterAutospacing="0"/>
        <w:rPr>
          <w:rFonts w:ascii="Georgia" w:hAnsi="Georgia" w:cstheme="minorBidi"/>
          <w:lang w:eastAsia="en-US"/>
        </w:rPr>
      </w:pPr>
      <w:bookmarkStart w:id="0" w:name="_GoBack"/>
      <w:bookmarkEnd w:id="0"/>
    </w:p>
    <w:p w14:paraId="1DA24A9F" w14:textId="7C5418DC" w:rsidR="00BA75F6" w:rsidRPr="0007088D" w:rsidRDefault="00F6008D" w:rsidP="0007088D">
      <w:pPr>
        <w:pStyle w:val="NormalWeb"/>
        <w:shd w:val="clear" w:color="auto" w:fill="FFFFFF"/>
        <w:spacing w:before="0" w:beforeAutospacing="0" w:after="150" w:afterAutospacing="0"/>
        <w:ind w:firstLine="720"/>
        <w:rPr>
          <w:rFonts w:ascii="Georgia" w:hAnsi="Georgia"/>
          <w:b/>
          <w:u w:val="single"/>
        </w:rPr>
      </w:pPr>
      <w:r>
        <w:rPr>
          <w:rFonts w:ascii="Georgia" w:hAnsi="Georgia"/>
          <w:b/>
          <w:u w:val="single"/>
        </w:rPr>
        <w:t>C</w:t>
      </w:r>
      <w:r w:rsidR="002F38FE" w:rsidRPr="00F6008D">
        <w:rPr>
          <w:rFonts w:ascii="Georgia" w:hAnsi="Georgia"/>
          <w:b/>
          <w:u w:val="single"/>
        </w:rPr>
        <w:t>lassification of antiamoebic drugs</w:t>
      </w:r>
    </w:p>
    <w:p w14:paraId="0056042F" w14:textId="4EB155E7" w:rsidR="002229A6" w:rsidRPr="00BF6B28" w:rsidRDefault="002229A6" w:rsidP="00884F46">
      <w:pPr>
        <w:pStyle w:val="ListParagraph"/>
        <w:numPr>
          <w:ilvl w:val="0"/>
          <w:numId w:val="7"/>
        </w:numPr>
        <w:shd w:val="clear" w:color="auto" w:fill="FFFFFF"/>
        <w:spacing w:line="240" w:lineRule="atLeast"/>
        <w:outlineLvl w:val="4"/>
        <w:rPr>
          <w:rFonts w:ascii="Georgia" w:hAnsi="Georgia"/>
          <w:lang w:eastAsia="en-GB"/>
        </w:rPr>
      </w:pPr>
      <w:r w:rsidRPr="00BF6B28">
        <w:rPr>
          <w:rFonts w:ascii="Georgia" w:hAnsi="Georgia"/>
          <w:lang w:eastAsia="en-GB"/>
        </w:rPr>
        <w:t>Nitroimidazole derivative</w:t>
      </w:r>
      <w:r w:rsidR="003E0195" w:rsidRPr="00BF6B28">
        <w:rPr>
          <w:rFonts w:ascii="Georgia" w:hAnsi="Georgia"/>
          <w:lang w:eastAsia="en-GB"/>
        </w:rPr>
        <w:t xml:space="preserve"> </w:t>
      </w:r>
    </w:p>
    <w:p w14:paraId="7EEB243C" w14:textId="35F63DAB" w:rsidR="002229A6" w:rsidRPr="00BF6B28" w:rsidRDefault="002229A6" w:rsidP="00884F46">
      <w:pPr>
        <w:pStyle w:val="ListParagraph"/>
        <w:numPr>
          <w:ilvl w:val="0"/>
          <w:numId w:val="7"/>
        </w:numPr>
        <w:shd w:val="clear" w:color="auto" w:fill="FFFFFF"/>
        <w:spacing w:line="240" w:lineRule="atLeast"/>
        <w:outlineLvl w:val="4"/>
        <w:rPr>
          <w:rFonts w:ascii="Georgia" w:hAnsi="Georgia"/>
          <w:lang w:eastAsia="en-GB"/>
        </w:rPr>
      </w:pPr>
      <w:r w:rsidRPr="00BF6B28">
        <w:rPr>
          <w:rFonts w:ascii="Georgia" w:hAnsi="Georgia"/>
          <w:lang w:eastAsia="en-GB"/>
        </w:rPr>
        <w:t>Dichloroacetamide derivatives</w:t>
      </w:r>
    </w:p>
    <w:p w14:paraId="60E4743B" w14:textId="491B9B8E" w:rsidR="002229A6" w:rsidRPr="00BF6B28" w:rsidRDefault="002229A6" w:rsidP="00884F46">
      <w:pPr>
        <w:shd w:val="clear" w:color="auto" w:fill="FFFFFF"/>
        <w:ind w:left="225"/>
        <w:rPr>
          <w:rFonts w:ascii="Georgia" w:hAnsi="Georgia"/>
          <w:lang w:eastAsia="en-GB"/>
        </w:rPr>
      </w:pPr>
    </w:p>
    <w:p w14:paraId="732A1585" w14:textId="77777777" w:rsidR="001647D1" w:rsidRPr="00BF6B28" w:rsidRDefault="001647D1" w:rsidP="00C56A9B">
      <w:pPr>
        <w:pStyle w:val="ListParagraph"/>
        <w:numPr>
          <w:ilvl w:val="0"/>
          <w:numId w:val="3"/>
        </w:numPr>
        <w:shd w:val="clear" w:color="auto" w:fill="FFFFFF"/>
        <w:spacing w:line="240" w:lineRule="atLeast"/>
        <w:outlineLvl w:val="4"/>
        <w:rPr>
          <w:rFonts w:ascii="Georgia" w:hAnsi="Georgia"/>
        </w:rPr>
      </w:pPr>
    </w:p>
    <w:p w14:paraId="64B4479E" w14:textId="7E51A509" w:rsidR="003E0195" w:rsidRPr="00BF6B28" w:rsidRDefault="00386A10" w:rsidP="001647D1">
      <w:pPr>
        <w:shd w:val="clear" w:color="auto" w:fill="FFFFFF"/>
        <w:spacing w:line="240" w:lineRule="atLeast"/>
        <w:outlineLvl w:val="4"/>
        <w:rPr>
          <w:rFonts w:ascii="Georgia" w:hAnsi="Georgia"/>
          <w:b/>
        </w:rPr>
      </w:pPr>
      <w:r w:rsidRPr="00BF6B28">
        <w:rPr>
          <w:rFonts w:ascii="Georgia" w:hAnsi="Georgia"/>
          <w:b/>
          <w:lang w:eastAsia="en-GB"/>
        </w:rPr>
        <w:t xml:space="preserve">- </w:t>
      </w:r>
      <w:r w:rsidR="003E0195" w:rsidRPr="00BF6B28">
        <w:rPr>
          <w:rFonts w:ascii="Georgia" w:hAnsi="Georgia"/>
          <w:b/>
          <w:lang w:eastAsia="en-GB"/>
        </w:rPr>
        <w:t>Nitroimidazole derivatives</w:t>
      </w:r>
    </w:p>
    <w:p w14:paraId="45D5A491" w14:textId="77777777" w:rsidR="00D40548" w:rsidRPr="00BF6B28" w:rsidRDefault="00D40548" w:rsidP="001647D1">
      <w:pPr>
        <w:shd w:val="clear" w:color="auto" w:fill="FFFFFF"/>
        <w:spacing w:line="240" w:lineRule="atLeast"/>
        <w:outlineLvl w:val="4"/>
        <w:rPr>
          <w:rFonts w:ascii="Georgia" w:hAnsi="Georgia"/>
          <w:lang w:eastAsia="en-GB"/>
        </w:rPr>
      </w:pPr>
    </w:p>
    <w:p w14:paraId="732C5FF2" w14:textId="586C2194" w:rsidR="003E0195" w:rsidRPr="00BF6B28" w:rsidRDefault="0007088D" w:rsidP="003E0195">
      <w:pPr>
        <w:numPr>
          <w:ilvl w:val="0"/>
          <w:numId w:val="5"/>
        </w:numPr>
        <w:shd w:val="clear" w:color="auto" w:fill="FFFFFF"/>
        <w:ind w:left="225"/>
        <w:rPr>
          <w:rFonts w:ascii="Georgia" w:hAnsi="Georgia"/>
          <w:lang w:eastAsia="en-GB"/>
        </w:rPr>
      </w:pPr>
      <w:hyperlink r:id="rId6" w:history="1">
        <w:r w:rsidR="003E0195" w:rsidRPr="00BF6B28">
          <w:rPr>
            <w:rFonts w:ascii="Georgia" w:hAnsi="Georgia"/>
            <w:lang w:eastAsia="en-GB"/>
          </w:rPr>
          <w:t>Metronidazole,</w:t>
        </w:r>
      </w:hyperlink>
      <w:r w:rsidR="003A65D5" w:rsidRPr="00BF6B28">
        <w:rPr>
          <w:rFonts w:ascii="Georgia" w:hAnsi="Georgia"/>
        </w:rPr>
        <w:t xml:space="preserve"> eg. Flagyl </w:t>
      </w:r>
    </w:p>
    <w:p w14:paraId="0869C82B" w14:textId="58F90DEF" w:rsidR="003E0195" w:rsidRPr="00BF6B28" w:rsidRDefault="00C45E41" w:rsidP="003E0195">
      <w:pPr>
        <w:numPr>
          <w:ilvl w:val="0"/>
          <w:numId w:val="5"/>
        </w:numPr>
        <w:shd w:val="clear" w:color="auto" w:fill="FFFFFF"/>
        <w:spacing w:after="75"/>
        <w:ind w:left="225"/>
        <w:rPr>
          <w:rFonts w:ascii="Georgia" w:hAnsi="Georgia"/>
          <w:lang w:eastAsia="en-GB"/>
        </w:rPr>
      </w:pPr>
      <w:r>
        <w:rPr>
          <w:rFonts w:ascii="Georgia" w:hAnsi="Georgia"/>
          <w:lang w:eastAsia="en-GB"/>
        </w:rPr>
        <w:t>Tinidazole, eg Fasigen &amp; Tindamax</w:t>
      </w:r>
    </w:p>
    <w:p w14:paraId="5D30D9D5" w14:textId="459F4C4F" w:rsidR="003E0195" w:rsidRPr="00BF6B28" w:rsidRDefault="003E0195" w:rsidP="003E0195">
      <w:pPr>
        <w:numPr>
          <w:ilvl w:val="0"/>
          <w:numId w:val="5"/>
        </w:numPr>
        <w:shd w:val="clear" w:color="auto" w:fill="FFFFFF"/>
        <w:spacing w:after="75"/>
        <w:ind w:left="225"/>
        <w:rPr>
          <w:rFonts w:ascii="Georgia" w:hAnsi="Georgia"/>
          <w:lang w:eastAsia="en-GB"/>
        </w:rPr>
      </w:pPr>
      <w:r w:rsidRPr="00BF6B28">
        <w:rPr>
          <w:rFonts w:ascii="Georgia" w:hAnsi="Georgia"/>
          <w:lang w:eastAsia="en-GB"/>
        </w:rPr>
        <w:t>Secnidazole</w:t>
      </w:r>
      <w:r w:rsidR="005B0E14">
        <w:rPr>
          <w:rFonts w:ascii="Georgia" w:hAnsi="Georgia"/>
          <w:lang w:eastAsia="en-GB"/>
        </w:rPr>
        <w:t xml:space="preserve"> eg Solosec </w:t>
      </w:r>
    </w:p>
    <w:p w14:paraId="3621B3C5" w14:textId="628F51A5" w:rsidR="003E0195" w:rsidRPr="006743CD" w:rsidRDefault="003E0195" w:rsidP="006743CD">
      <w:pPr>
        <w:rPr>
          <w:rFonts w:ascii="Georgia" w:hAnsi="Georgia"/>
        </w:rPr>
      </w:pPr>
      <w:r w:rsidRPr="00BF6B28">
        <w:rPr>
          <w:rFonts w:ascii="Georgia" w:hAnsi="Georgia"/>
          <w:lang w:eastAsia="en-GB"/>
        </w:rPr>
        <w:t>Benznidazole,</w:t>
      </w:r>
      <w:r w:rsidR="006743CD">
        <w:rPr>
          <w:rFonts w:ascii="Georgia" w:hAnsi="Georgia"/>
          <w:lang w:eastAsia="en-GB"/>
        </w:rPr>
        <w:t xml:space="preserve"> eg </w:t>
      </w:r>
      <w:r w:rsidR="006743CD" w:rsidRPr="006743CD">
        <w:rPr>
          <w:rFonts w:ascii="Georgia" w:hAnsi="Georgia"/>
          <w:lang w:eastAsia="en-GB"/>
        </w:rPr>
        <w:t>Rochagan, Radani</w:t>
      </w:r>
      <w:r w:rsidR="006743CD" w:rsidRPr="006743CD">
        <w:rPr>
          <w:rFonts w:ascii="Georgia" w:hAnsi="Georgia"/>
        </w:rPr>
        <w:t>l</w:t>
      </w:r>
    </w:p>
    <w:p w14:paraId="45FA5BEA" w14:textId="7066FE70" w:rsidR="003E0195" w:rsidRPr="006743CD" w:rsidRDefault="003E0195" w:rsidP="003E0195">
      <w:pPr>
        <w:numPr>
          <w:ilvl w:val="0"/>
          <w:numId w:val="5"/>
        </w:numPr>
        <w:shd w:val="clear" w:color="auto" w:fill="FFFFFF"/>
        <w:spacing w:after="75"/>
        <w:ind w:left="225"/>
        <w:rPr>
          <w:rFonts w:ascii="Georgia" w:hAnsi="Georgia"/>
        </w:rPr>
      </w:pPr>
      <w:r w:rsidRPr="006743CD">
        <w:rPr>
          <w:rFonts w:ascii="Georgia" w:hAnsi="Georgia"/>
        </w:rPr>
        <w:t>Ornidazole,</w:t>
      </w:r>
      <w:r w:rsidR="006743CD">
        <w:rPr>
          <w:rFonts w:ascii="Georgia" w:hAnsi="Georgia"/>
        </w:rPr>
        <w:t xml:space="preserve"> eg </w:t>
      </w:r>
      <w:r w:rsidR="00D975EE">
        <w:rPr>
          <w:rFonts w:ascii="Georgia" w:hAnsi="Georgia"/>
        </w:rPr>
        <w:t xml:space="preserve">Albitrol, Alor, Bitazol, </w:t>
      </w:r>
      <w:r w:rsidR="00575B69">
        <w:rPr>
          <w:rFonts w:ascii="Georgia" w:hAnsi="Georgia"/>
        </w:rPr>
        <w:t xml:space="preserve">Entamizole plus. </w:t>
      </w:r>
    </w:p>
    <w:p w14:paraId="30A5078F" w14:textId="6242DA14" w:rsidR="003E0195" w:rsidRPr="00BF6B28" w:rsidRDefault="003E0195" w:rsidP="003E0195">
      <w:pPr>
        <w:numPr>
          <w:ilvl w:val="0"/>
          <w:numId w:val="5"/>
        </w:numPr>
        <w:shd w:val="clear" w:color="auto" w:fill="FFFFFF"/>
        <w:spacing w:after="75"/>
        <w:ind w:left="225"/>
        <w:rPr>
          <w:rFonts w:ascii="Georgia" w:hAnsi="Georgia"/>
          <w:lang w:eastAsia="en-GB"/>
        </w:rPr>
      </w:pPr>
      <w:r w:rsidRPr="00BF6B28">
        <w:rPr>
          <w:rFonts w:ascii="Georgia" w:hAnsi="Georgia"/>
        </w:rPr>
        <w:t>Nimorazole</w:t>
      </w:r>
      <w:r w:rsidR="00263032">
        <w:rPr>
          <w:rFonts w:ascii="Georgia" w:hAnsi="Georgia"/>
        </w:rPr>
        <w:t xml:space="preserve"> eg Naxogin </w:t>
      </w:r>
    </w:p>
    <w:p w14:paraId="64DA1C7D" w14:textId="77777777" w:rsidR="00F529F5" w:rsidRDefault="00F529F5" w:rsidP="00F529F5">
      <w:pPr>
        <w:pStyle w:val="ListParagraph"/>
        <w:shd w:val="clear" w:color="auto" w:fill="FFFFFF"/>
        <w:spacing w:line="240" w:lineRule="atLeast"/>
        <w:outlineLvl w:val="4"/>
        <w:rPr>
          <w:rFonts w:ascii="Georgia" w:hAnsi="Georgia"/>
          <w:b/>
        </w:rPr>
      </w:pPr>
    </w:p>
    <w:p w14:paraId="461FD3D6" w14:textId="1D0A1167" w:rsidR="003E0195" w:rsidRPr="00BF6B28" w:rsidRDefault="003E0195" w:rsidP="003D31E7">
      <w:pPr>
        <w:pStyle w:val="ListParagraph"/>
        <w:numPr>
          <w:ilvl w:val="0"/>
          <w:numId w:val="7"/>
        </w:numPr>
        <w:shd w:val="clear" w:color="auto" w:fill="FFFFFF"/>
        <w:spacing w:line="240" w:lineRule="atLeast"/>
        <w:outlineLvl w:val="4"/>
        <w:rPr>
          <w:rFonts w:ascii="Georgia" w:hAnsi="Georgia"/>
          <w:b/>
        </w:rPr>
      </w:pPr>
      <w:r w:rsidRPr="00BF6B28">
        <w:rPr>
          <w:rFonts w:ascii="Georgia" w:hAnsi="Georgia"/>
          <w:b/>
          <w:lang w:eastAsia="en-GB"/>
        </w:rPr>
        <w:t>Dichloroacetamide derivatives</w:t>
      </w:r>
    </w:p>
    <w:p w14:paraId="301725AB" w14:textId="77777777" w:rsidR="00D40548" w:rsidRPr="00BF6B28" w:rsidRDefault="00D40548" w:rsidP="00D40548">
      <w:pPr>
        <w:pStyle w:val="ListParagraph"/>
        <w:shd w:val="clear" w:color="auto" w:fill="FFFFFF"/>
        <w:spacing w:line="240" w:lineRule="atLeast"/>
        <w:outlineLvl w:val="4"/>
        <w:rPr>
          <w:rFonts w:ascii="Georgia" w:hAnsi="Georgia"/>
          <w:lang w:eastAsia="en-GB"/>
        </w:rPr>
      </w:pPr>
    </w:p>
    <w:p w14:paraId="4E0E9F3E" w14:textId="22D5CE68" w:rsidR="003E0195" w:rsidRPr="00BF6B28" w:rsidRDefault="003E0195" w:rsidP="003E0195">
      <w:pPr>
        <w:numPr>
          <w:ilvl w:val="0"/>
          <w:numId w:val="6"/>
        </w:numPr>
        <w:shd w:val="clear" w:color="auto" w:fill="FFFFFF"/>
        <w:ind w:left="225"/>
        <w:rPr>
          <w:rFonts w:ascii="Georgia" w:hAnsi="Georgia"/>
          <w:lang w:eastAsia="en-GB"/>
        </w:rPr>
      </w:pPr>
      <w:r w:rsidRPr="00BF6B28">
        <w:rPr>
          <w:rFonts w:ascii="Georgia" w:hAnsi="Georgia"/>
          <w:lang w:eastAsia="en-GB"/>
        </w:rPr>
        <w:t>Diloxanide furoate</w:t>
      </w:r>
      <w:r w:rsidR="008A4687">
        <w:rPr>
          <w:rFonts w:ascii="Georgia" w:hAnsi="Georgia"/>
          <w:lang w:eastAsia="en-GB"/>
        </w:rPr>
        <w:t xml:space="preserve"> eg </w:t>
      </w:r>
      <w:r w:rsidR="00352048">
        <w:rPr>
          <w:rFonts w:ascii="Georgia" w:hAnsi="Georgia"/>
          <w:lang w:eastAsia="en-GB"/>
        </w:rPr>
        <w:t xml:space="preserve">Amicline, Furamide </w:t>
      </w:r>
      <w:r w:rsidRPr="00BF6B28">
        <w:rPr>
          <w:rFonts w:ascii="Georgia" w:hAnsi="Georgia"/>
          <w:lang w:eastAsia="en-GB"/>
        </w:rPr>
        <w:t xml:space="preserve"> (also used with </w:t>
      </w:r>
      <w:hyperlink r:id="rId7" w:history="1">
        <w:r w:rsidRPr="00BF6B28">
          <w:rPr>
            <w:rFonts w:ascii="Georgia" w:hAnsi="Georgia"/>
            <w:lang w:eastAsia="en-GB"/>
          </w:rPr>
          <w:t>metronidazole</w:t>
        </w:r>
      </w:hyperlink>
      <w:r w:rsidRPr="00BF6B28">
        <w:rPr>
          <w:rFonts w:ascii="Georgia" w:hAnsi="Georgia"/>
          <w:lang w:eastAsia="en-GB"/>
        </w:rPr>
        <w:t> called entomazale)</w:t>
      </w:r>
    </w:p>
    <w:p w14:paraId="21FFF9F2" w14:textId="37EEAAD6" w:rsidR="003E0195" w:rsidRPr="00BF6B28" w:rsidRDefault="003E0195" w:rsidP="003E0195">
      <w:pPr>
        <w:numPr>
          <w:ilvl w:val="0"/>
          <w:numId w:val="6"/>
        </w:numPr>
        <w:shd w:val="clear" w:color="auto" w:fill="FFFFFF"/>
        <w:spacing w:after="75"/>
        <w:ind w:left="225"/>
        <w:rPr>
          <w:rFonts w:ascii="Georgia" w:hAnsi="Georgia"/>
          <w:lang w:eastAsia="en-GB"/>
        </w:rPr>
      </w:pPr>
      <w:r w:rsidRPr="00BF6B28">
        <w:rPr>
          <w:rFonts w:ascii="Georgia" w:hAnsi="Georgia"/>
          <w:lang w:eastAsia="en-GB"/>
        </w:rPr>
        <w:t>Clefamide,</w:t>
      </w:r>
      <w:r w:rsidR="00AE490C">
        <w:rPr>
          <w:rFonts w:ascii="Georgia" w:hAnsi="Georgia"/>
          <w:lang w:eastAsia="en-GB"/>
        </w:rPr>
        <w:t xml:space="preserve"> eg Mebinol </w:t>
      </w:r>
    </w:p>
    <w:p w14:paraId="74248C62" w14:textId="08D4BF48" w:rsidR="003E0195" w:rsidRPr="00BF6B28" w:rsidRDefault="003E0195" w:rsidP="003E0195">
      <w:pPr>
        <w:numPr>
          <w:ilvl w:val="0"/>
          <w:numId w:val="6"/>
        </w:numPr>
        <w:shd w:val="clear" w:color="auto" w:fill="FFFFFF"/>
        <w:spacing w:after="75"/>
        <w:ind w:left="225"/>
        <w:rPr>
          <w:rFonts w:ascii="Georgia" w:hAnsi="Georgia"/>
          <w:lang w:eastAsia="en-GB"/>
        </w:rPr>
      </w:pPr>
      <w:r w:rsidRPr="00BF6B28">
        <w:rPr>
          <w:rFonts w:ascii="Georgia" w:hAnsi="Georgia"/>
          <w:lang w:eastAsia="en-GB"/>
        </w:rPr>
        <w:t>Teclozan,</w:t>
      </w:r>
      <w:r w:rsidR="00512A22">
        <w:rPr>
          <w:rFonts w:ascii="Georgia" w:hAnsi="Georgia"/>
          <w:lang w:eastAsia="en-GB"/>
        </w:rPr>
        <w:t xml:space="preserve"> eg Falmonax. </w:t>
      </w:r>
      <w:r w:rsidR="00A072C0">
        <w:rPr>
          <w:rFonts w:ascii="Georgia" w:hAnsi="Georgia"/>
          <w:lang w:eastAsia="en-GB"/>
        </w:rPr>
        <w:t>Falmonaz 500</w:t>
      </w:r>
    </w:p>
    <w:p w14:paraId="392A72C7" w14:textId="40252409" w:rsidR="003E0195" w:rsidRDefault="003E0195" w:rsidP="003E0195">
      <w:pPr>
        <w:numPr>
          <w:ilvl w:val="0"/>
          <w:numId w:val="6"/>
        </w:numPr>
        <w:shd w:val="clear" w:color="auto" w:fill="FFFFFF"/>
        <w:spacing w:after="75"/>
        <w:ind w:left="225"/>
        <w:rPr>
          <w:rFonts w:ascii="Georgia" w:hAnsi="Georgia"/>
          <w:lang w:eastAsia="en-GB"/>
        </w:rPr>
      </w:pPr>
      <w:r w:rsidRPr="00BF6B28">
        <w:rPr>
          <w:rFonts w:ascii="Georgia" w:hAnsi="Georgia"/>
          <w:lang w:eastAsia="en-GB"/>
        </w:rPr>
        <w:t>Etofamide</w:t>
      </w:r>
      <w:r w:rsidR="00902E7F">
        <w:rPr>
          <w:rFonts w:ascii="Georgia" w:hAnsi="Georgia"/>
          <w:lang w:eastAsia="en-GB"/>
        </w:rPr>
        <w:t xml:space="preserve"> eg Kitnos Forte </w:t>
      </w:r>
    </w:p>
    <w:p w14:paraId="381E052D" w14:textId="77777777" w:rsidR="00C80602" w:rsidRDefault="00C80602" w:rsidP="00C80602">
      <w:pPr>
        <w:shd w:val="clear" w:color="auto" w:fill="FFFFFF"/>
        <w:spacing w:after="75"/>
        <w:rPr>
          <w:rFonts w:ascii="Georgia" w:hAnsi="Georgia"/>
          <w:lang w:eastAsia="en-GB"/>
        </w:rPr>
      </w:pPr>
    </w:p>
    <w:p w14:paraId="5267981D" w14:textId="08BEAC2D" w:rsidR="00B75ABA" w:rsidRPr="00B75ABA" w:rsidRDefault="00224209" w:rsidP="00B75ABA">
      <w:pPr>
        <w:pStyle w:val="ListParagraph"/>
        <w:numPr>
          <w:ilvl w:val="0"/>
          <w:numId w:val="3"/>
        </w:numPr>
        <w:shd w:val="clear" w:color="auto" w:fill="FFFFFF"/>
        <w:spacing w:after="75"/>
        <w:rPr>
          <w:rFonts w:ascii="Georgia" w:hAnsi="Georgia"/>
          <w:lang w:eastAsia="en-GB"/>
        </w:rPr>
      </w:pPr>
      <w:r>
        <w:rPr>
          <w:rFonts w:ascii="Georgia" w:hAnsi="Georgia"/>
          <w:u w:val="single"/>
          <w:lang w:eastAsia="en-GB"/>
        </w:rPr>
        <w:t>MECH</w:t>
      </w:r>
      <w:r w:rsidR="00B75ABA">
        <w:rPr>
          <w:rFonts w:ascii="Georgia" w:hAnsi="Georgia"/>
          <w:u w:val="single"/>
          <w:lang w:eastAsia="en-GB"/>
        </w:rPr>
        <w:t xml:space="preserve">ANISM OF ACTION OF METRONIDAZOLE </w:t>
      </w:r>
    </w:p>
    <w:p w14:paraId="15DFE0A4" w14:textId="77777777" w:rsidR="00B75ABA" w:rsidRPr="00B75ABA" w:rsidRDefault="00B75ABA" w:rsidP="00B75ABA">
      <w:pPr>
        <w:shd w:val="clear" w:color="auto" w:fill="FFFFFF"/>
        <w:spacing w:after="75"/>
        <w:rPr>
          <w:rFonts w:ascii="Georgia" w:hAnsi="Georgia"/>
          <w:lang w:eastAsia="en-GB"/>
        </w:rPr>
      </w:pPr>
    </w:p>
    <w:p w14:paraId="6C1C4D66" w14:textId="77777777" w:rsidR="00A50FA7" w:rsidRPr="002C6D0F" w:rsidRDefault="00A50FA7" w:rsidP="00A50FA7">
      <w:pPr>
        <w:pStyle w:val="NormalWeb"/>
        <w:shd w:val="clear" w:color="auto" w:fill="FFFFFF"/>
        <w:spacing w:before="166" w:beforeAutospacing="0" w:after="166" w:afterAutospacing="0"/>
        <w:rPr>
          <w:rFonts w:ascii="Georgia" w:hAnsi="Georgia"/>
          <w:color w:val="000000"/>
        </w:rPr>
      </w:pPr>
      <w:r w:rsidRPr="002C6D0F">
        <w:rPr>
          <w:rFonts w:ascii="Georgia" w:hAnsi="Georgia"/>
          <w:color w:val="000000"/>
        </w:rPr>
        <w:t>Metronidazole diffuses into the organism, inhibits protein synthesis by interacting with DNA and causing a loss of helical DNA structure and strand breakage. Therefore, it causes cell death in susceptible organisms.</w:t>
      </w:r>
    </w:p>
    <w:p w14:paraId="14D2287C" w14:textId="375EE82E" w:rsidR="00A50FA7" w:rsidRPr="002C6D0F" w:rsidRDefault="00A50FA7" w:rsidP="00A50FA7">
      <w:pPr>
        <w:pStyle w:val="NormalWeb"/>
        <w:shd w:val="clear" w:color="auto" w:fill="FFFFFF"/>
        <w:spacing w:before="166" w:beforeAutospacing="0" w:after="166" w:afterAutospacing="0"/>
        <w:rPr>
          <w:rFonts w:ascii="Georgia" w:hAnsi="Georgia"/>
          <w:color w:val="000000"/>
        </w:rPr>
      </w:pPr>
      <w:r w:rsidRPr="002C6D0F">
        <w:rPr>
          <w:rFonts w:ascii="Georgia" w:hAnsi="Georgia"/>
          <w:color w:val="000000"/>
        </w:rPr>
        <w:t>The mechanism of action of metronidazole occurs through a four-step process. Step one is the entry into the organism by diffusion across the cell membranes of anaerobic and aerobic pathogens. However, antimicrobial effects are limited to anaerobes.Step two involves reductive activation by intracellular transport proteins by altering the chemical structure of pyruvate-ferredoxin oxidoreductase. The reduction of metronidazole creates a concentration gradient in the cell that drives uptake of more drug and promotes free radical formation that is cytotoxic. Step three, interactions with intracellular targets, is achieved by cytotoxic particles interacting with host cell DNA resulting in DNA strand breakage and fatal destabilization of the DNA helix.</w:t>
      </w:r>
      <w:r w:rsidR="00886319">
        <w:rPr>
          <w:rFonts w:ascii="Georgia" w:hAnsi="Georgia"/>
          <w:color w:val="000000"/>
        </w:rPr>
        <w:t xml:space="preserve"> </w:t>
      </w:r>
      <w:r w:rsidRPr="002C6D0F">
        <w:rPr>
          <w:rFonts w:ascii="Georgia" w:hAnsi="Georgia"/>
          <w:color w:val="000000"/>
        </w:rPr>
        <w:t>Step four is the breakdown of cytotoxic products. Metronidazole is also cytotoxic to facultatively anaerobic bacteria like</w:t>
      </w:r>
      <w:r w:rsidRPr="002C6D0F">
        <w:rPr>
          <w:rFonts w:ascii="Georgia" w:hAnsi="Georgia"/>
          <w:i/>
          <w:iCs/>
          <w:color w:val="000000"/>
        </w:rPr>
        <w:t> Helicobacter pylori</w:t>
      </w:r>
      <w:r w:rsidRPr="002C6D0F">
        <w:rPr>
          <w:rFonts w:ascii="Georgia" w:hAnsi="Georgia"/>
          <w:color w:val="000000"/>
        </w:rPr>
        <w:t> and </w:t>
      </w:r>
      <w:r w:rsidRPr="002C6D0F">
        <w:rPr>
          <w:rFonts w:ascii="Georgia" w:hAnsi="Georgia"/>
          <w:i/>
          <w:iCs/>
          <w:color w:val="000000"/>
        </w:rPr>
        <w:t>Gardnerella vaginalis</w:t>
      </w:r>
      <w:r w:rsidRPr="002C6D0F">
        <w:rPr>
          <w:rFonts w:ascii="Georgia" w:hAnsi="Georgia"/>
          <w:color w:val="000000"/>
        </w:rPr>
        <w:t>, but the mechanism of action to these pathogens is not well understood.</w:t>
      </w:r>
    </w:p>
    <w:p w14:paraId="5DE31696" w14:textId="3EDB0AFF" w:rsidR="002229A6" w:rsidRPr="002C6D0F" w:rsidRDefault="002229A6" w:rsidP="008A0C0D">
      <w:pPr>
        <w:rPr>
          <w:rFonts w:ascii="Georgia" w:hAnsi="Georgia"/>
        </w:rPr>
      </w:pPr>
    </w:p>
    <w:sectPr w:rsidR="002229A6" w:rsidRPr="002C6D0F" w:rsidSect="003B23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A19"/>
    <w:multiLevelType w:val="hybridMultilevel"/>
    <w:tmpl w:val="5AA25458"/>
    <w:lvl w:ilvl="0" w:tplc="A6BE3B7C">
      <w:start w:val="3"/>
      <w:numFmt w:val="bullet"/>
      <w:lvlText w:val="-"/>
      <w:lvlJc w:val="left"/>
      <w:pPr>
        <w:ind w:left="720" w:hanging="360"/>
      </w:pPr>
      <w:rPr>
        <w:rFonts w:ascii="Georgia" w:eastAsia="Times New Roman" w:hAnsi="Georgi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64535"/>
    <w:multiLevelType w:val="multilevel"/>
    <w:tmpl w:val="AD94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C66C7"/>
    <w:multiLevelType w:val="hybridMultilevel"/>
    <w:tmpl w:val="A0E4C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0E3F4E"/>
    <w:multiLevelType w:val="hybridMultilevel"/>
    <w:tmpl w:val="0D2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DC1DB9"/>
    <w:multiLevelType w:val="multilevel"/>
    <w:tmpl w:val="0590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907FF"/>
    <w:multiLevelType w:val="hybridMultilevel"/>
    <w:tmpl w:val="1D3E2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151FEB"/>
    <w:multiLevelType w:val="hybridMultilevel"/>
    <w:tmpl w:val="B73AA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D5"/>
    <w:rsid w:val="00017C37"/>
    <w:rsid w:val="00022FB6"/>
    <w:rsid w:val="0002749C"/>
    <w:rsid w:val="00061B4F"/>
    <w:rsid w:val="0007088D"/>
    <w:rsid w:val="00083D1F"/>
    <w:rsid w:val="00097788"/>
    <w:rsid w:val="000F32D3"/>
    <w:rsid w:val="00110799"/>
    <w:rsid w:val="00141E88"/>
    <w:rsid w:val="001647D1"/>
    <w:rsid w:val="001750A2"/>
    <w:rsid w:val="0017701B"/>
    <w:rsid w:val="001B6C2F"/>
    <w:rsid w:val="001F2B50"/>
    <w:rsid w:val="002229A6"/>
    <w:rsid w:val="00224209"/>
    <w:rsid w:val="00263032"/>
    <w:rsid w:val="00286DD0"/>
    <w:rsid w:val="00294C5F"/>
    <w:rsid w:val="002B4D43"/>
    <w:rsid w:val="002C6D0F"/>
    <w:rsid w:val="002D3556"/>
    <w:rsid w:val="002F38FE"/>
    <w:rsid w:val="003233BB"/>
    <w:rsid w:val="0032567A"/>
    <w:rsid w:val="00341065"/>
    <w:rsid w:val="00352048"/>
    <w:rsid w:val="0036108D"/>
    <w:rsid w:val="00382A0C"/>
    <w:rsid w:val="00386A10"/>
    <w:rsid w:val="00390634"/>
    <w:rsid w:val="003A65D5"/>
    <w:rsid w:val="003A711E"/>
    <w:rsid w:val="003B23D3"/>
    <w:rsid w:val="003C6174"/>
    <w:rsid w:val="003D31E7"/>
    <w:rsid w:val="003E0195"/>
    <w:rsid w:val="003E1902"/>
    <w:rsid w:val="00454878"/>
    <w:rsid w:val="00460FD0"/>
    <w:rsid w:val="004A28AC"/>
    <w:rsid w:val="004A5264"/>
    <w:rsid w:val="00512A22"/>
    <w:rsid w:val="00514172"/>
    <w:rsid w:val="00575B69"/>
    <w:rsid w:val="00593CF5"/>
    <w:rsid w:val="005B0E14"/>
    <w:rsid w:val="005C637C"/>
    <w:rsid w:val="005D4529"/>
    <w:rsid w:val="006176F9"/>
    <w:rsid w:val="00655E30"/>
    <w:rsid w:val="0065632F"/>
    <w:rsid w:val="006563EB"/>
    <w:rsid w:val="006743CD"/>
    <w:rsid w:val="00682DC3"/>
    <w:rsid w:val="00706DCE"/>
    <w:rsid w:val="00762DB6"/>
    <w:rsid w:val="007A1016"/>
    <w:rsid w:val="007C76E6"/>
    <w:rsid w:val="008075A2"/>
    <w:rsid w:val="0081036F"/>
    <w:rsid w:val="00884F46"/>
    <w:rsid w:val="00886277"/>
    <w:rsid w:val="00886319"/>
    <w:rsid w:val="008A0C0D"/>
    <w:rsid w:val="008A4687"/>
    <w:rsid w:val="008A498C"/>
    <w:rsid w:val="008E723A"/>
    <w:rsid w:val="008F4D22"/>
    <w:rsid w:val="0090137D"/>
    <w:rsid w:val="009017F4"/>
    <w:rsid w:val="00902E7F"/>
    <w:rsid w:val="009245E9"/>
    <w:rsid w:val="009309F3"/>
    <w:rsid w:val="00974A1C"/>
    <w:rsid w:val="00983BC1"/>
    <w:rsid w:val="00990A1D"/>
    <w:rsid w:val="009B6AD3"/>
    <w:rsid w:val="009C0370"/>
    <w:rsid w:val="009C71AE"/>
    <w:rsid w:val="009F4AAB"/>
    <w:rsid w:val="00A024E1"/>
    <w:rsid w:val="00A072C0"/>
    <w:rsid w:val="00A1458B"/>
    <w:rsid w:val="00A15AEE"/>
    <w:rsid w:val="00A17FB8"/>
    <w:rsid w:val="00A20651"/>
    <w:rsid w:val="00A50FA7"/>
    <w:rsid w:val="00A935AD"/>
    <w:rsid w:val="00AE490C"/>
    <w:rsid w:val="00B0622A"/>
    <w:rsid w:val="00B75ABA"/>
    <w:rsid w:val="00B90B21"/>
    <w:rsid w:val="00BA2AAE"/>
    <w:rsid w:val="00BA4C2D"/>
    <w:rsid w:val="00BA75F6"/>
    <w:rsid w:val="00BB1AAE"/>
    <w:rsid w:val="00BF6B28"/>
    <w:rsid w:val="00C439EC"/>
    <w:rsid w:val="00C45E41"/>
    <w:rsid w:val="00C551D8"/>
    <w:rsid w:val="00C56A9B"/>
    <w:rsid w:val="00C658B4"/>
    <w:rsid w:val="00C80602"/>
    <w:rsid w:val="00CA2F65"/>
    <w:rsid w:val="00CD1118"/>
    <w:rsid w:val="00D037EE"/>
    <w:rsid w:val="00D16B9A"/>
    <w:rsid w:val="00D40548"/>
    <w:rsid w:val="00D754D6"/>
    <w:rsid w:val="00D75622"/>
    <w:rsid w:val="00D975EE"/>
    <w:rsid w:val="00DB128A"/>
    <w:rsid w:val="00DC5F62"/>
    <w:rsid w:val="00E10A05"/>
    <w:rsid w:val="00E66CD5"/>
    <w:rsid w:val="00E9086D"/>
    <w:rsid w:val="00F209FB"/>
    <w:rsid w:val="00F529F5"/>
    <w:rsid w:val="00F6008D"/>
    <w:rsid w:val="00FA57F2"/>
    <w:rsid w:val="00FC61A0"/>
    <w:rsid w:val="00FE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B33B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229A6"/>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CD5"/>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1458B"/>
    <w:pPr>
      <w:ind w:left="720"/>
      <w:contextualSpacing/>
    </w:pPr>
  </w:style>
  <w:style w:type="character" w:customStyle="1" w:styleId="Heading5Char">
    <w:name w:val="Heading 5 Char"/>
    <w:basedOn w:val="DefaultParagraphFont"/>
    <w:link w:val="Heading5"/>
    <w:uiPriority w:val="9"/>
    <w:rsid w:val="002229A6"/>
    <w:rPr>
      <w:rFonts w:ascii="Times New Roman" w:hAnsi="Times New Roman" w:cs="Times New Roman"/>
      <w:b/>
      <w:bCs/>
      <w:sz w:val="20"/>
      <w:szCs w:val="20"/>
      <w:lang w:eastAsia="en-GB"/>
    </w:rPr>
  </w:style>
  <w:style w:type="character" w:styleId="Strong">
    <w:name w:val="Strong"/>
    <w:basedOn w:val="DefaultParagraphFont"/>
    <w:uiPriority w:val="22"/>
    <w:qFormat/>
    <w:rsid w:val="002229A6"/>
    <w:rPr>
      <w:b/>
      <w:bCs/>
    </w:rPr>
  </w:style>
  <w:style w:type="character" w:styleId="Hyperlink">
    <w:name w:val="Hyperlink"/>
    <w:basedOn w:val="DefaultParagraphFont"/>
    <w:uiPriority w:val="99"/>
    <w:semiHidden/>
    <w:unhideWhenUsed/>
    <w:rsid w:val="00222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8827">
      <w:bodyDiv w:val="1"/>
      <w:marLeft w:val="0"/>
      <w:marRight w:val="0"/>
      <w:marTop w:val="0"/>
      <w:marBottom w:val="0"/>
      <w:divBdr>
        <w:top w:val="none" w:sz="0" w:space="0" w:color="auto"/>
        <w:left w:val="none" w:sz="0" w:space="0" w:color="auto"/>
        <w:bottom w:val="none" w:sz="0" w:space="0" w:color="auto"/>
        <w:right w:val="none" w:sz="0" w:space="0" w:color="auto"/>
      </w:divBdr>
    </w:div>
    <w:div w:id="188686551">
      <w:bodyDiv w:val="1"/>
      <w:marLeft w:val="0"/>
      <w:marRight w:val="0"/>
      <w:marTop w:val="0"/>
      <w:marBottom w:val="0"/>
      <w:divBdr>
        <w:top w:val="none" w:sz="0" w:space="0" w:color="auto"/>
        <w:left w:val="none" w:sz="0" w:space="0" w:color="auto"/>
        <w:bottom w:val="none" w:sz="0" w:space="0" w:color="auto"/>
        <w:right w:val="none" w:sz="0" w:space="0" w:color="auto"/>
      </w:divBdr>
      <w:divsChild>
        <w:div w:id="194731011">
          <w:marLeft w:val="0"/>
          <w:marRight w:val="0"/>
          <w:marTop w:val="0"/>
          <w:marBottom w:val="0"/>
          <w:divBdr>
            <w:top w:val="none" w:sz="0" w:space="0" w:color="auto"/>
            <w:left w:val="none" w:sz="0" w:space="0" w:color="auto"/>
            <w:bottom w:val="none" w:sz="0" w:space="0" w:color="auto"/>
            <w:right w:val="none" w:sz="0" w:space="0" w:color="auto"/>
          </w:divBdr>
          <w:divsChild>
            <w:div w:id="139270409">
              <w:marLeft w:val="0"/>
              <w:marRight w:val="0"/>
              <w:marTop w:val="0"/>
              <w:marBottom w:val="0"/>
              <w:divBdr>
                <w:top w:val="none" w:sz="0" w:space="0" w:color="auto"/>
                <w:left w:val="none" w:sz="0" w:space="0" w:color="auto"/>
                <w:bottom w:val="none" w:sz="0" w:space="0" w:color="auto"/>
                <w:right w:val="none" w:sz="0" w:space="0" w:color="auto"/>
              </w:divBdr>
            </w:div>
          </w:divsChild>
        </w:div>
        <w:div w:id="1927690637">
          <w:marLeft w:val="0"/>
          <w:marRight w:val="0"/>
          <w:marTop w:val="0"/>
          <w:marBottom w:val="0"/>
          <w:divBdr>
            <w:top w:val="none" w:sz="0" w:space="0" w:color="auto"/>
            <w:left w:val="none" w:sz="0" w:space="0" w:color="auto"/>
            <w:bottom w:val="none" w:sz="0" w:space="0" w:color="auto"/>
            <w:right w:val="none" w:sz="0" w:space="0" w:color="auto"/>
          </w:divBdr>
        </w:div>
        <w:div w:id="389309872">
          <w:marLeft w:val="0"/>
          <w:marRight w:val="0"/>
          <w:marTop w:val="0"/>
          <w:marBottom w:val="0"/>
          <w:divBdr>
            <w:top w:val="none" w:sz="0" w:space="0" w:color="auto"/>
            <w:left w:val="none" w:sz="0" w:space="0" w:color="auto"/>
            <w:bottom w:val="none" w:sz="0" w:space="0" w:color="auto"/>
            <w:right w:val="none" w:sz="0" w:space="0" w:color="auto"/>
          </w:divBdr>
          <w:divsChild>
            <w:div w:id="1814253297">
              <w:marLeft w:val="0"/>
              <w:marRight w:val="0"/>
              <w:marTop w:val="0"/>
              <w:marBottom w:val="0"/>
              <w:divBdr>
                <w:top w:val="none" w:sz="0" w:space="0" w:color="auto"/>
                <w:left w:val="none" w:sz="0" w:space="0" w:color="auto"/>
                <w:bottom w:val="none" w:sz="0" w:space="0" w:color="auto"/>
                <w:right w:val="none" w:sz="0" w:space="0" w:color="auto"/>
              </w:divBdr>
            </w:div>
          </w:divsChild>
        </w:div>
        <w:div w:id="942540740">
          <w:marLeft w:val="0"/>
          <w:marRight w:val="0"/>
          <w:marTop w:val="0"/>
          <w:marBottom w:val="0"/>
          <w:divBdr>
            <w:top w:val="none" w:sz="0" w:space="0" w:color="auto"/>
            <w:left w:val="none" w:sz="0" w:space="0" w:color="auto"/>
            <w:bottom w:val="none" w:sz="0" w:space="0" w:color="auto"/>
            <w:right w:val="none" w:sz="0" w:space="0" w:color="auto"/>
          </w:divBdr>
        </w:div>
        <w:div w:id="1339188816">
          <w:marLeft w:val="0"/>
          <w:marRight w:val="0"/>
          <w:marTop w:val="0"/>
          <w:marBottom w:val="0"/>
          <w:divBdr>
            <w:top w:val="none" w:sz="0" w:space="0" w:color="auto"/>
            <w:left w:val="none" w:sz="0" w:space="0" w:color="auto"/>
            <w:bottom w:val="none" w:sz="0" w:space="0" w:color="auto"/>
            <w:right w:val="none" w:sz="0" w:space="0" w:color="auto"/>
          </w:divBdr>
          <w:divsChild>
            <w:div w:id="166750594">
              <w:marLeft w:val="0"/>
              <w:marRight w:val="0"/>
              <w:marTop w:val="0"/>
              <w:marBottom w:val="0"/>
              <w:divBdr>
                <w:top w:val="none" w:sz="0" w:space="0" w:color="auto"/>
                <w:left w:val="none" w:sz="0" w:space="0" w:color="auto"/>
                <w:bottom w:val="none" w:sz="0" w:space="0" w:color="auto"/>
                <w:right w:val="none" w:sz="0" w:space="0" w:color="auto"/>
              </w:divBdr>
              <w:divsChild>
                <w:div w:id="1831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8921">
          <w:marLeft w:val="0"/>
          <w:marRight w:val="0"/>
          <w:marTop w:val="0"/>
          <w:marBottom w:val="0"/>
          <w:divBdr>
            <w:top w:val="none" w:sz="0" w:space="0" w:color="auto"/>
            <w:left w:val="none" w:sz="0" w:space="0" w:color="auto"/>
            <w:bottom w:val="none" w:sz="0" w:space="0" w:color="auto"/>
            <w:right w:val="none" w:sz="0" w:space="0" w:color="auto"/>
          </w:divBdr>
        </w:div>
        <w:div w:id="1458405365">
          <w:marLeft w:val="0"/>
          <w:marRight w:val="0"/>
          <w:marTop w:val="0"/>
          <w:marBottom w:val="0"/>
          <w:divBdr>
            <w:top w:val="none" w:sz="0" w:space="0" w:color="auto"/>
            <w:left w:val="none" w:sz="0" w:space="0" w:color="auto"/>
            <w:bottom w:val="none" w:sz="0" w:space="0" w:color="auto"/>
            <w:right w:val="none" w:sz="0" w:space="0" w:color="auto"/>
          </w:divBdr>
          <w:divsChild>
            <w:div w:id="236018773">
              <w:marLeft w:val="0"/>
              <w:marRight w:val="0"/>
              <w:marTop w:val="0"/>
              <w:marBottom w:val="0"/>
              <w:divBdr>
                <w:top w:val="none" w:sz="0" w:space="0" w:color="auto"/>
                <w:left w:val="none" w:sz="0" w:space="0" w:color="auto"/>
                <w:bottom w:val="none" w:sz="0" w:space="0" w:color="auto"/>
                <w:right w:val="none" w:sz="0" w:space="0" w:color="auto"/>
              </w:divBdr>
              <w:divsChild>
                <w:div w:id="511603400">
                  <w:marLeft w:val="0"/>
                  <w:marRight w:val="0"/>
                  <w:marTop w:val="0"/>
                  <w:marBottom w:val="0"/>
                  <w:divBdr>
                    <w:top w:val="none" w:sz="0" w:space="0" w:color="auto"/>
                    <w:left w:val="none" w:sz="0" w:space="0" w:color="auto"/>
                    <w:bottom w:val="none" w:sz="0" w:space="0" w:color="auto"/>
                    <w:right w:val="none" w:sz="0" w:space="0" w:color="auto"/>
                  </w:divBdr>
                  <w:divsChild>
                    <w:div w:id="1316821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7989148">
          <w:marLeft w:val="0"/>
          <w:marRight w:val="0"/>
          <w:marTop w:val="0"/>
          <w:marBottom w:val="0"/>
          <w:divBdr>
            <w:top w:val="none" w:sz="0" w:space="0" w:color="auto"/>
            <w:left w:val="none" w:sz="0" w:space="0" w:color="auto"/>
            <w:bottom w:val="none" w:sz="0" w:space="0" w:color="auto"/>
            <w:right w:val="none" w:sz="0" w:space="0" w:color="auto"/>
          </w:divBdr>
        </w:div>
        <w:div w:id="1762145588">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95455179">
                  <w:marLeft w:val="0"/>
                  <w:marRight w:val="0"/>
                  <w:marTop w:val="0"/>
                  <w:marBottom w:val="0"/>
                  <w:divBdr>
                    <w:top w:val="none" w:sz="0" w:space="0" w:color="auto"/>
                    <w:left w:val="none" w:sz="0" w:space="0" w:color="auto"/>
                    <w:bottom w:val="none" w:sz="0" w:space="0" w:color="auto"/>
                    <w:right w:val="none" w:sz="0" w:space="0" w:color="auto"/>
                  </w:divBdr>
                  <w:divsChild>
                    <w:div w:id="1356074302">
                      <w:marLeft w:val="0"/>
                      <w:marRight w:val="0"/>
                      <w:marTop w:val="0"/>
                      <w:marBottom w:val="0"/>
                      <w:divBdr>
                        <w:top w:val="none" w:sz="0" w:space="0" w:color="auto"/>
                        <w:left w:val="none" w:sz="0" w:space="0" w:color="auto"/>
                        <w:bottom w:val="none" w:sz="0" w:space="0" w:color="auto"/>
                        <w:right w:val="none" w:sz="0" w:space="0" w:color="auto"/>
                      </w:divBdr>
                      <w:divsChild>
                        <w:div w:id="2066564763">
                          <w:marLeft w:val="0"/>
                          <w:marRight w:val="0"/>
                          <w:marTop w:val="0"/>
                          <w:marBottom w:val="0"/>
                          <w:divBdr>
                            <w:top w:val="none" w:sz="0" w:space="0" w:color="auto"/>
                            <w:left w:val="none" w:sz="0" w:space="0" w:color="auto"/>
                            <w:bottom w:val="none" w:sz="0" w:space="0" w:color="auto"/>
                            <w:right w:val="none" w:sz="0" w:space="0" w:color="auto"/>
                          </w:divBdr>
                        </w:div>
                        <w:div w:id="8527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7905">
          <w:marLeft w:val="0"/>
          <w:marRight w:val="0"/>
          <w:marTop w:val="0"/>
          <w:marBottom w:val="0"/>
          <w:divBdr>
            <w:top w:val="none" w:sz="0" w:space="0" w:color="auto"/>
            <w:left w:val="none" w:sz="0" w:space="0" w:color="auto"/>
            <w:bottom w:val="none" w:sz="0" w:space="0" w:color="auto"/>
            <w:right w:val="none" w:sz="0" w:space="0" w:color="auto"/>
          </w:divBdr>
        </w:div>
        <w:div w:id="978001662">
          <w:marLeft w:val="0"/>
          <w:marRight w:val="0"/>
          <w:marTop w:val="0"/>
          <w:marBottom w:val="0"/>
          <w:divBdr>
            <w:top w:val="none" w:sz="0" w:space="0" w:color="auto"/>
            <w:left w:val="none" w:sz="0" w:space="0" w:color="auto"/>
            <w:bottom w:val="none" w:sz="0" w:space="0" w:color="auto"/>
            <w:right w:val="none" w:sz="0" w:space="0" w:color="auto"/>
          </w:divBdr>
          <w:divsChild>
            <w:div w:id="1965580613">
              <w:marLeft w:val="0"/>
              <w:marRight w:val="0"/>
              <w:marTop w:val="0"/>
              <w:marBottom w:val="0"/>
              <w:divBdr>
                <w:top w:val="none" w:sz="0" w:space="0" w:color="auto"/>
                <w:left w:val="none" w:sz="0" w:space="0" w:color="auto"/>
                <w:bottom w:val="none" w:sz="0" w:space="0" w:color="auto"/>
                <w:right w:val="none" w:sz="0" w:space="0" w:color="auto"/>
              </w:divBdr>
            </w:div>
          </w:divsChild>
        </w:div>
        <w:div w:id="399712002">
          <w:marLeft w:val="0"/>
          <w:marRight w:val="0"/>
          <w:marTop w:val="0"/>
          <w:marBottom w:val="0"/>
          <w:divBdr>
            <w:top w:val="none" w:sz="0" w:space="0" w:color="auto"/>
            <w:left w:val="none" w:sz="0" w:space="0" w:color="auto"/>
            <w:bottom w:val="none" w:sz="0" w:space="0" w:color="auto"/>
            <w:right w:val="none" w:sz="0" w:space="0" w:color="auto"/>
          </w:divBdr>
        </w:div>
        <w:div w:id="823857753">
          <w:marLeft w:val="0"/>
          <w:marRight w:val="0"/>
          <w:marTop w:val="0"/>
          <w:marBottom w:val="0"/>
          <w:divBdr>
            <w:top w:val="none" w:sz="0" w:space="0" w:color="auto"/>
            <w:left w:val="none" w:sz="0" w:space="0" w:color="auto"/>
            <w:bottom w:val="none" w:sz="0" w:space="0" w:color="auto"/>
            <w:right w:val="none" w:sz="0" w:space="0" w:color="auto"/>
          </w:divBdr>
          <w:divsChild>
            <w:div w:id="616645815">
              <w:marLeft w:val="0"/>
              <w:marRight w:val="0"/>
              <w:marTop w:val="0"/>
              <w:marBottom w:val="0"/>
              <w:divBdr>
                <w:top w:val="none" w:sz="0" w:space="0" w:color="auto"/>
                <w:left w:val="none" w:sz="0" w:space="0" w:color="auto"/>
                <w:bottom w:val="none" w:sz="0" w:space="0" w:color="auto"/>
                <w:right w:val="none" w:sz="0" w:space="0" w:color="auto"/>
              </w:divBdr>
            </w:div>
          </w:divsChild>
        </w:div>
        <w:div w:id="1537547875">
          <w:marLeft w:val="0"/>
          <w:marRight w:val="0"/>
          <w:marTop w:val="0"/>
          <w:marBottom w:val="0"/>
          <w:divBdr>
            <w:top w:val="none" w:sz="0" w:space="0" w:color="auto"/>
            <w:left w:val="none" w:sz="0" w:space="0" w:color="auto"/>
            <w:bottom w:val="none" w:sz="0" w:space="0" w:color="auto"/>
            <w:right w:val="none" w:sz="0" w:space="0" w:color="auto"/>
          </w:divBdr>
        </w:div>
        <w:div w:id="1032531508">
          <w:marLeft w:val="0"/>
          <w:marRight w:val="0"/>
          <w:marTop w:val="0"/>
          <w:marBottom w:val="0"/>
          <w:divBdr>
            <w:top w:val="none" w:sz="0" w:space="0" w:color="auto"/>
            <w:left w:val="none" w:sz="0" w:space="0" w:color="auto"/>
            <w:bottom w:val="none" w:sz="0" w:space="0" w:color="auto"/>
            <w:right w:val="none" w:sz="0" w:space="0" w:color="auto"/>
          </w:divBdr>
          <w:divsChild>
            <w:div w:id="12652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2650">
      <w:bodyDiv w:val="1"/>
      <w:marLeft w:val="0"/>
      <w:marRight w:val="0"/>
      <w:marTop w:val="0"/>
      <w:marBottom w:val="0"/>
      <w:divBdr>
        <w:top w:val="none" w:sz="0" w:space="0" w:color="auto"/>
        <w:left w:val="none" w:sz="0" w:space="0" w:color="auto"/>
        <w:bottom w:val="none" w:sz="0" w:space="0" w:color="auto"/>
        <w:right w:val="none" w:sz="0" w:space="0" w:color="auto"/>
      </w:divBdr>
    </w:div>
    <w:div w:id="829953254">
      <w:bodyDiv w:val="1"/>
      <w:marLeft w:val="0"/>
      <w:marRight w:val="0"/>
      <w:marTop w:val="0"/>
      <w:marBottom w:val="0"/>
      <w:divBdr>
        <w:top w:val="none" w:sz="0" w:space="0" w:color="auto"/>
        <w:left w:val="none" w:sz="0" w:space="0" w:color="auto"/>
        <w:bottom w:val="none" w:sz="0" w:space="0" w:color="auto"/>
        <w:right w:val="none" w:sz="0" w:space="0" w:color="auto"/>
      </w:divBdr>
    </w:div>
    <w:div w:id="1087577789">
      <w:bodyDiv w:val="1"/>
      <w:marLeft w:val="0"/>
      <w:marRight w:val="0"/>
      <w:marTop w:val="0"/>
      <w:marBottom w:val="0"/>
      <w:divBdr>
        <w:top w:val="none" w:sz="0" w:space="0" w:color="auto"/>
        <w:left w:val="none" w:sz="0" w:space="0" w:color="auto"/>
        <w:bottom w:val="none" w:sz="0" w:space="0" w:color="auto"/>
        <w:right w:val="none" w:sz="0" w:space="0" w:color="auto"/>
      </w:divBdr>
    </w:div>
    <w:div w:id="1254390483">
      <w:bodyDiv w:val="1"/>
      <w:marLeft w:val="0"/>
      <w:marRight w:val="0"/>
      <w:marTop w:val="0"/>
      <w:marBottom w:val="0"/>
      <w:divBdr>
        <w:top w:val="none" w:sz="0" w:space="0" w:color="auto"/>
        <w:left w:val="none" w:sz="0" w:space="0" w:color="auto"/>
        <w:bottom w:val="none" w:sz="0" w:space="0" w:color="auto"/>
        <w:right w:val="none" w:sz="0" w:space="0" w:color="auto"/>
      </w:divBdr>
    </w:div>
    <w:div w:id="1261060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howmed.net/pharmacology/metronidazole/" TargetMode="External"/><Relationship Id="rId7" Type="http://schemas.openxmlformats.org/officeDocument/2006/relationships/hyperlink" Target="http://howmed.net/pharmacology/metronidazo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dcterms:created xsi:type="dcterms:W3CDTF">2020-04-11T17:45:00Z</dcterms:created>
  <dcterms:modified xsi:type="dcterms:W3CDTF">2020-04-12T22:41:00Z</dcterms:modified>
</cp:coreProperties>
</file>