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1A" w:rsidRDefault="0025691A" w:rsidP="0025691A">
      <w:pPr>
        <w:spacing w:line="480" w:lineRule="auto"/>
        <w:ind w:left="2160" w:firstLine="720"/>
        <w:rPr>
          <w:rFonts w:ascii="Times New Roman" w:eastAsiaTheme="minorHAnsi" w:hAnsi="Times New Roman" w:cs="Times New Roman"/>
          <w:b/>
          <w:color w:val="auto"/>
          <w:sz w:val="24"/>
          <w:szCs w:val="24"/>
        </w:rPr>
      </w:pPr>
      <w:r>
        <w:rPr>
          <w:rFonts w:ascii="Times New Roman" w:hAnsi="Times New Roman" w:cs="Times New Roman"/>
          <w:b/>
          <w:sz w:val="24"/>
          <w:szCs w:val="24"/>
        </w:rPr>
        <w:t>OGBEWELE EHINOMEN</w:t>
      </w:r>
    </w:p>
    <w:p w:rsidR="0025691A" w:rsidRDefault="0025691A" w:rsidP="0025691A">
      <w:pPr>
        <w:spacing w:line="480" w:lineRule="auto"/>
        <w:ind w:left="2880" w:firstLine="720"/>
        <w:rPr>
          <w:rFonts w:ascii="Times New Roman" w:hAnsi="Times New Roman" w:cs="Times New Roman"/>
          <w:b/>
          <w:sz w:val="24"/>
          <w:szCs w:val="24"/>
        </w:rPr>
      </w:pPr>
      <w:r>
        <w:rPr>
          <w:rFonts w:ascii="Times New Roman" w:hAnsi="Times New Roman" w:cs="Times New Roman"/>
          <w:b/>
          <w:sz w:val="24"/>
          <w:szCs w:val="24"/>
        </w:rPr>
        <w:t>16/SMS02/045</w:t>
      </w:r>
    </w:p>
    <w:p w:rsidR="0025691A" w:rsidRDefault="0025691A" w:rsidP="0025691A">
      <w:pPr>
        <w:spacing w:line="480" w:lineRule="auto"/>
        <w:jc w:val="center"/>
        <w:rPr>
          <w:rFonts w:ascii="Times New Roman" w:hAnsi="Times New Roman" w:cs="Times New Roman"/>
          <w:b/>
          <w:sz w:val="24"/>
          <w:szCs w:val="24"/>
        </w:rPr>
      </w:pPr>
    </w:p>
    <w:p w:rsidR="0025691A" w:rsidRDefault="0025691A" w:rsidP="0025691A">
      <w:pPr>
        <w:spacing w:line="480" w:lineRule="auto"/>
        <w:rPr>
          <w:rFonts w:ascii="Times New Roman" w:hAnsi="Times New Roman" w:cs="Times New Roman"/>
          <w:b/>
          <w:sz w:val="24"/>
          <w:szCs w:val="24"/>
        </w:rPr>
      </w:pPr>
    </w:p>
    <w:p w:rsidR="0025691A" w:rsidRDefault="0025691A" w:rsidP="0025691A">
      <w:pPr>
        <w:spacing w:line="480" w:lineRule="auto"/>
        <w:jc w:val="center"/>
        <w:rPr>
          <w:rFonts w:ascii="Times New Roman" w:hAnsi="Times New Roman" w:cs="Times New Roman"/>
          <w:b/>
          <w:sz w:val="24"/>
          <w:szCs w:val="24"/>
        </w:rPr>
      </w:pPr>
    </w:p>
    <w:p w:rsidR="0025691A" w:rsidRDefault="0025691A" w:rsidP="0025691A">
      <w:pPr>
        <w:spacing w:line="480" w:lineRule="auto"/>
        <w:jc w:val="center"/>
        <w:rPr>
          <w:rFonts w:ascii="Times New Roman" w:hAnsi="Times New Roman" w:cs="Times New Roman"/>
          <w:b/>
          <w:sz w:val="24"/>
          <w:szCs w:val="24"/>
        </w:rPr>
      </w:pPr>
    </w:p>
    <w:p w:rsidR="0025691A" w:rsidRDefault="0025691A" w:rsidP="0025691A">
      <w:pPr>
        <w:spacing w:line="480" w:lineRule="auto"/>
        <w:jc w:val="center"/>
        <w:rPr>
          <w:rFonts w:ascii="Times New Roman" w:hAnsi="Times New Roman" w:cs="Times New Roman"/>
          <w:b/>
          <w:sz w:val="24"/>
          <w:szCs w:val="24"/>
        </w:rPr>
      </w:pPr>
    </w:p>
    <w:p w:rsidR="0025691A" w:rsidRDefault="0025691A" w:rsidP="0025691A">
      <w:pPr>
        <w:spacing w:line="480" w:lineRule="auto"/>
        <w:jc w:val="center"/>
        <w:rPr>
          <w:rFonts w:ascii="Times New Roman" w:hAnsi="Times New Roman" w:cs="Times New Roman"/>
          <w:b/>
          <w:sz w:val="24"/>
          <w:szCs w:val="24"/>
        </w:rPr>
      </w:pPr>
    </w:p>
    <w:p w:rsidR="0025691A" w:rsidRDefault="0025691A" w:rsidP="0025691A">
      <w:pPr>
        <w:spacing w:line="480" w:lineRule="auto"/>
        <w:jc w:val="center"/>
        <w:rPr>
          <w:rFonts w:ascii="Times New Roman" w:hAnsi="Times New Roman" w:cs="Times New Roman"/>
          <w:b/>
          <w:sz w:val="24"/>
          <w:szCs w:val="24"/>
        </w:rPr>
      </w:pPr>
    </w:p>
    <w:p w:rsidR="0025691A" w:rsidRDefault="0025691A" w:rsidP="00C64770">
      <w:pPr>
        <w:spacing w:after="56" w:line="480" w:lineRule="auto"/>
        <w:ind w:left="0" w:firstLine="0"/>
        <w:rPr>
          <w:rFonts w:ascii="Times New Roman" w:hAnsi="Times New Roman" w:cs="Times New Roman"/>
          <w:b/>
          <w:sz w:val="24"/>
          <w:szCs w:val="24"/>
        </w:rPr>
      </w:pPr>
    </w:p>
    <w:p w:rsidR="0025691A" w:rsidRDefault="0025691A" w:rsidP="00C64770">
      <w:pPr>
        <w:spacing w:after="56" w:line="480" w:lineRule="auto"/>
        <w:ind w:left="0" w:firstLine="0"/>
        <w:rPr>
          <w:rFonts w:ascii="Times New Roman" w:hAnsi="Times New Roman" w:cs="Times New Roman"/>
          <w:b/>
          <w:sz w:val="24"/>
          <w:szCs w:val="24"/>
        </w:rPr>
      </w:pPr>
    </w:p>
    <w:p w:rsidR="00CA5BBC" w:rsidRPr="00C64770" w:rsidRDefault="00BC6A41" w:rsidP="00C64770">
      <w:pPr>
        <w:spacing w:after="56" w:line="480" w:lineRule="auto"/>
        <w:ind w:left="0" w:firstLine="0"/>
        <w:rPr>
          <w:rFonts w:ascii="Times New Roman" w:hAnsi="Times New Roman" w:cs="Times New Roman"/>
          <w:b/>
          <w:sz w:val="24"/>
          <w:szCs w:val="24"/>
        </w:rPr>
      </w:pPr>
      <w:r>
        <w:rPr>
          <w:rFonts w:ascii="Times New Roman" w:hAnsi="Times New Roman" w:cs="Times New Roman"/>
          <w:b/>
          <w:sz w:val="24"/>
          <w:szCs w:val="24"/>
        </w:rPr>
        <w:t>SUMMARY ON</w:t>
      </w:r>
      <w:bookmarkStart w:id="0" w:name="_GoBack"/>
      <w:bookmarkEnd w:id="0"/>
      <w:r w:rsidR="0025691A">
        <w:rPr>
          <w:rFonts w:ascii="Times New Roman" w:hAnsi="Times New Roman" w:cs="Times New Roman"/>
          <w:b/>
          <w:sz w:val="24"/>
          <w:szCs w:val="24"/>
        </w:rPr>
        <w:t xml:space="preserve"> THE </w:t>
      </w:r>
      <w:r w:rsidR="00CA5BBC" w:rsidRPr="00C64770">
        <w:rPr>
          <w:rFonts w:ascii="Times New Roman" w:hAnsi="Times New Roman" w:cs="Times New Roman"/>
          <w:b/>
          <w:sz w:val="24"/>
          <w:szCs w:val="24"/>
        </w:rPr>
        <w:t xml:space="preserve">TRANSLATION OF FOREIGN CURRENCY FINANCIAL STATEMENTS </w:t>
      </w:r>
    </w:p>
    <w:p w:rsidR="0025691A" w:rsidRDefault="0025691A" w:rsidP="00C64770">
      <w:pPr>
        <w:spacing w:after="54" w:line="480" w:lineRule="auto"/>
        <w:ind w:right="-15"/>
        <w:rPr>
          <w:rFonts w:ascii="Times New Roman" w:hAnsi="Times New Roman" w:cs="Times New Roman"/>
          <w:b/>
          <w:sz w:val="24"/>
          <w:szCs w:val="24"/>
        </w:rPr>
      </w:pPr>
    </w:p>
    <w:p w:rsidR="0025691A" w:rsidRDefault="0025691A" w:rsidP="00C64770">
      <w:pPr>
        <w:spacing w:after="54" w:line="480" w:lineRule="auto"/>
        <w:ind w:right="-15"/>
        <w:rPr>
          <w:rFonts w:ascii="Times New Roman" w:hAnsi="Times New Roman" w:cs="Times New Roman"/>
          <w:b/>
          <w:sz w:val="24"/>
          <w:szCs w:val="24"/>
        </w:rPr>
      </w:pPr>
    </w:p>
    <w:p w:rsidR="0025691A" w:rsidRDefault="0025691A" w:rsidP="00C64770">
      <w:pPr>
        <w:spacing w:after="54" w:line="480" w:lineRule="auto"/>
        <w:ind w:right="-15"/>
        <w:rPr>
          <w:rFonts w:ascii="Times New Roman" w:hAnsi="Times New Roman" w:cs="Times New Roman"/>
          <w:b/>
          <w:sz w:val="24"/>
          <w:szCs w:val="24"/>
        </w:rPr>
      </w:pPr>
    </w:p>
    <w:p w:rsidR="0025691A" w:rsidRDefault="0025691A" w:rsidP="00C64770">
      <w:pPr>
        <w:spacing w:after="54" w:line="480" w:lineRule="auto"/>
        <w:ind w:right="-15"/>
        <w:rPr>
          <w:rFonts w:ascii="Times New Roman" w:hAnsi="Times New Roman" w:cs="Times New Roman"/>
          <w:b/>
          <w:sz w:val="24"/>
          <w:szCs w:val="24"/>
        </w:rPr>
      </w:pPr>
    </w:p>
    <w:p w:rsidR="0025691A" w:rsidRDefault="0025691A" w:rsidP="00C64770">
      <w:pPr>
        <w:spacing w:after="54" w:line="480" w:lineRule="auto"/>
        <w:ind w:right="-15"/>
        <w:rPr>
          <w:rFonts w:ascii="Times New Roman" w:hAnsi="Times New Roman" w:cs="Times New Roman"/>
          <w:b/>
          <w:sz w:val="24"/>
          <w:szCs w:val="24"/>
        </w:rPr>
      </w:pPr>
    </w:p>
    <w:p w:rsidR="0025691A" w:rsidRDefault="0025691A" w:rsidP="0025691A">
      <w:pPr>
        <w:spacing w:after="54" w:line="480" w:lineRule="auto"/>
        <w:ind w:left="0" w:right="-15" w:firstLine="0"/>
        <w:rPr>
          <w:rFonts w:ascii="Times New Roman" w:hAnsi="Times New Roman" w:cs="Times New Roman"/>
          <w:b/>
          <w:sz w:val="24"/>
          <w:szCs w:val="24"/>
        </w:rPr>
      </w:pPr>
    </w:p>
    <w:p w:rsidR="00CA5BBC" w:rsidRPr="00C64770" w:rsidRDefault="00CA5BBC" w:rsidP="0025691A">
      <w:pPr>
        <w:spacing w:after="54" w:line="480" w:lineRule="auto"/>
        <w:ind w:left="0" w:right="-15" w:firstLine="0"/>
        <w:rPr>
          <w:rFonts w:ascii="Times New Roman" w:hAnsi="Times New Roman" w:cs="Times New Roman"/>
          <w:sz w:val="24"/>
          <w:szCs w:val="24"/>
        </w:rPr>
      </w:pPr>
      <w:r w:rsidRPr="00C64770">
        <w:rPr>
          <w:rFonts w:ascii="Times New Roman" w:hAnsi="Times New Roman" w:cs="Times New Roman"/>
          <w:b/>
          <w:sz w:val="24"/>
          <w:szCs w:val="24"/>
        </w:rPr>
        <w:lastRenderedPageBreak/>
        <w:t>Statement of Financial Position Exposure</w:t>
      </w:r>
      <w:r w:rsidRPr="00C64770">
        <w:rPr>
          <w:rFonts w:ascii="Times New Roman" w:hAnsi="Times New Roman" w:cs="Times New Roman"/>
          <w:sz w:val="24"/>
          <w:szCs w:val="24"/>
        </w:rPr>
        <w:t xml:space="preserve"> </w:t>
      </w:r>
    </w:p>
    <w:p w:rsidR="00FC5DFF" w:rsidRPr="00C64770" w:rsidRDefault="00CA5BBC" w:rsidP="00C64770">
      <w:pPr>
        <w:spacing w:line="480" w:lineRule="auto"/>
        <w:rPr>
          <w:rFonts w:ascii="Times New Roman" w:hAnsi="Times New Roman" w:cs="Times New Roman"/>
          <w:sz w:val="24"/>
          <w:szCs w:val="24"/>
        </w:rPr>
      </w:pPr>
      <w:r w:rsidRPr="00C64770">
        <w:rPr>
          <w:rFonts w:ascii="Times New Roman" w:hAnsi="Times New Roman" w:cs="Times New Roman"/>
          <w:sz w:val="24"/>
          <w:szCs w:val="24"/>
        </w:rPr>
        <w:t>As exchange rates change, assets and liabilities translated at the  current  exchange rate change in value from Statement of Financial Position to Statement of Financial Position in terms of the parent company’s reporting currency (for example, U.S. dollar). These items are exposed to translation adjustment. Exposure to translation adjustment is referred to as Statement of Financial Position, translation, or accounting exposure.  Each item translated at the current exchange rate is exposed to translation adjustment. However, positive translation adjustments on assets when the foreign currency appreciates are offset by negative translation adjustments on liabilities. If total exposed assets are equal to total exposed liabilities throughout the year, the translation adjustments (although perhaps significant on an individual basis) net to a zero balance.</w:t>
      </w:r>
    </w:p>
    <w:p w:rsidR="00CA5BBC" w:rsidRPr="00C64770" w:rsidRDefault="00CA5BBC" w:rsidP="00C64770">
      <w:pPr>
        <w:spacing w:line="480" w:lineRule="auto"/>
        <w:rPr>
          <w:rFonts w:ascii="Times New Roman" w:hAnsi="Times New Roman" w:cs="Times New Roman"/>
          <w:sz w:val="24"/>
          <w:szCs w:val="24"/>
        </w:rPr>
      </w:pPr>
      <w:r w:rsidRPr="00C64770">
        <w:rPr>
          <w:rFonts w:ascii="Times New Roman" w:hAnsi="Times New Roman" w:cs="Times New Roman"/>
          <w:sz w:val="24"/>
          <w:szCs w:val="24"/>
        </w:rPr>
        <w:t xml:space="preserve">A foreign operation will have a net asset Statement of Financial Position exposure when assets translated at the current exchange rate are greater in amount than liabilities translated at the current exchange rate. A net liability Statement of Financial Position exposure exists when liabilities translated at the current exchange rate are greater than assets translated at the current exchange rate. The relationship between exchange rate fluctuations, Statement of Financial Position exposure, and translation adjustments can be summarized as follows: </w:t>
      </w:r>
    </w:p>
    <w:tbl>
      <w:tblPr>
        <w:tblStyle w:val="TableGrid"/>
        <w:tblW w:w="8381" w:type="dxa"/>
        <w:tblInd w:w="365" w:type="dxa"/>
        <w:tblCellMar>
          <w:left w:w="103" w:type="dxa"/>
          <w:right w:w="115" w:type="dxa"/>
        </w:tblCellMar>
        <w:tblLook w:val="04A0" w:firstRow="1" w:lastRow="0" w:firstColumn="1" w:lastColumn="0" w:noHBand="0" w:noVBand="1"/>
      </w:tblPr>
      <w:tblGrid>
        <w:gridCol w:w="2278"/>
        <w:gridCol w:w="3053"/>
        <w:gridCol w:w="3050"/>
      </w:tblGrid>
      <w:tr w:rsidR="00CA5BBC" w:rsidRPr="00C64770" w:rsidTr="00CA5BBC">
        <w:trPr>
          <w:trHeight w:val="301"/>
        </w:trPr>
        <w:tc>
          <w:tcPr>
            <w:tcW w:w="2278" w:type="dxa"/>
            <w:vMerge w:val="restart"/>
            <w:tcBorders>
              <w:top w:val="single" w:sz="4" w:space="0" w:color="000000"/>
              <w:left w:val="single" w:sz="4" w:space="0" w:color="000000"/>
              <w:bottom w:val="single" w:sz="4" w:space="0" w:color="000000"/>
              <w:right w:val="single" w:sz="4" w:space="0" w:color="000000"/>
            </w:tcBorders>
            <w:hideMark/>
          </w:tcPr>
          <w:p w:rsidR="00CA5BBC" w:rsidRPr="00C64770" w:rsidRDefault="00CA5BBC" w:rsidP="00C64770">
            <w:pPr>
              <w:spacing w:after="35" w:line="480" w:lineRule="auto"/>
              <w:ind w:left="3" w:firstLine="0"/>
              <w:rPr>
                <w:rFonts w:ascii="Times New Roman" w:hAnsi="Times New Roman" w:cs="Times New Roman"/>
                <w:sz w:val="24"/>
                <w:szCs w:val="24"/>
              </w:rPr>
            </w:pPr>
            <w:r w:rsidRPr="00C64770">
              <w:rPr>
                <w:rFonts w:ascii="Times New Roman" w:hAnsi="Times New Roman" w:cs="Times New Roman"/>
                <w:b/>
                <w:sz w:val="24"/>
                <w:szCs w:val="24"/>
              </w:rPr>
              <w:t xml:space="preserve">  </w:t>
            </w:r>
          </w:p>
          <w:p w:rsidR="00CA5BBC" w:rsidRPr="00C64770" w:rsidRDefault="00CA5BBC" w:rsidP="00C64770">
            <w:pPr>
              <w:spacing w:after="35" w:line="480" w:lineRule="auto"/>
              <w:ind w:left="3" w:firstLine="0"/>
              <w:rPr>
                <w:rFonts w:ascii="Times New Roman" w:hAnsi="Times New Roman" w:cs="Times New Roman"/>
                <w:sz w:val="24"/>
                <w:szCs w:val="24"/>
              </w:rPr>
            </w:pPr>
            <w:r w:rsidRPr="00C64770">
              <w:rPr>
                <w:rFonts w:ascii="Times New Roman" w:hAnsi="Times New Roman" w:cs="Times New Roman"/>
                <w:b/>
                <w:sz w:val="24"/>
                <w:szCs w:val="24"/>
              </w:rPr>
              <w:t xml:space="preserve">Statement of Financial </w:t>
            </w:r>
          </w:p>
          <w:p w:rsidR="00CA5BBC" w:rsidRPr="00C64770" w:rsidRDefault="00CA5BBC" w:rsidP="00C64770">
            <w:pPr>
              <w:spacing w:after="0" w:line="480" w:lineRule="auto"/>
              <w:ind w:left="3" w:firstLine="0"/>
              <w:rPr>
                <w:rFonts w:ascii="Times New Roman" w:hAnsi="Times New Roman" w:cs="Times New Roman"/>
                <w:sz w:val="24"/>
                <w:szCs w:val="24"/>
              </w:rPr>
            </w:pPr>
            <w:r w:rsidRPr="00C64770">
              <w:rPr>
                <w:rFonts w:ascii="Times New Roman" w:hAnsi="Times New Roman" w:cs="Times New Roman"/>
                <w:b/>
                <w:sz w:val="24"/>
                <w:szCs w:val="24"/>
              </w:rPr>
              <w:t xml:space="preserve">Position Exposure </w:t>
            </w:r>
          </w:p>
        </w:tc>
        <w:tc>
          <w:tcPr>
            <w:tcW w:w="6103" w:type="dxa"/>
            <w:gridSpan w:val="2"/>
            <w:tcBorders>
              <w:top w:val="single" w:sz="4" w:space="0" w:color="000000"/>
              <w:left w:val="single" w:sz="4" w:space="0" w:color="000000"/>
              <w:bottom w:val="single" w:sz="4" w:space="0" w:color="000000"/>
              <w:right w:val="single" w:sz="4" w:space="0" w:color="000000"/>
            </w:tcBorders>
            <w:hideMark/>
          </w:tcPr>
          <w:p w:rsidR="00CA5BBC" w:rsidRPr="00C64770" w:rsidRDefault="00CA5BBC" w:rsidP="00C64770">
            <w:pPr>
              <w:spacing w:after="0" w:line="480" w:lineRule="auto"/>
              <w:ind w:left="0" w:firstLine="0"/>
              <w:rPr>
                <w:rFonts w:ascii="Times New Roman" w:hAnsi="Times New Roman" w:cs="Times New Roman"/>
                <w:sz w:val="24"/>
                <w:szCs w:val="24"/>
              </w:rPr>
            </w:pPr>
            <w:r w:rsidRPr="00C64770">
              <w:rPr>
                <w:rFonts w:ascii="Times New Roman" w:hAnsi="Times New Roman" w:cs="Times New Roman"/>
                <w:b/>
                <w:sz w:val="24"/>
                <w:szCs w:val="24"/>
              </w:rPr>
              <w:t xml:space="preserve">Foreign Currency </w:t>
            </w:r>
          </w:p>
        </w:tc>
      </w:tr>
      <w:tr w:rsidR="00CA5BBC" w:rsidRPr="00C64770" w:rsidTr="00CA5BBC">
        <w:trPr>
          <w:trHeight w:val="4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5BBC" w:rsidRPr="00C64770" w:rsidRDefault="00CA5BBC" w:rsidP="00C64770">
            <w:pPr>
              <w:spacing w:after="0" w:line="480" w:lineRule="auto"/>
              <w:ind w:left="0" w:firstLine="0"/>
              <w:rPr>
                <w:rFonts w:ascii="Times New Roman" w:hAnsi="Times New Roman" w:cs="Times New Roman"/>
                <w:sz w:val="24"/>
                <w:szCs w:val="24"/>
              </w:rPr>
            </w:pPr>
          </w:p>
        </w:tc>
        <w:tc>
          <w:tcPr>
            <w:tcW w:w="3053" w:type="dxa"/>
            <w:tcBorders>
              <w:top w:val="single" w:sz="4" w:space="0" w:color="000000"/>
              <w:left w:val="single" w:sz="4" w:space="0" w:color="000000"/>
              <w:bottom w:val="single" w:sz="4" w:space="0" w:color="000000"/>
              <w:right w:val="single" w:sz="4" w:space="0" w:color="000000"/>
            </w:tcBorders>
            <w:vAlign w:val="bottom"/>
            <w:hideMark/>
          </w:tcPr>
          <w:p w:rsidR="00CA5BBC" w:rsidRPr="00C64770" w:rsidRDefault="00CA5BBC" w:rsidP="00C64770">
            <w:pPr>
              <w:spacing w:after="0" w:line="480" w:lineRule="auto"/>
              <w:ind w:left="3" w:firstLine="0"/>
              <w:rPr>
                <w:rFonts w:ascii="Times New Roman" w:hAnsi="Times New Roman" w:cs="Times New Roman"/>
                <w:sz w:val="24"/>
                <w:szCs w:val="24"/>
              </w:rPr>
            </w:pPr>
            <w:r w:rsidRPr="00C64770">
              <w:rPr>
                <w:rFonts w:ascii="Times New Roman" w:hAnsi="Times New Roman" w:cs="Times New Roman"/>
                <w:b/>
                <w:sz w:val="24"/>
                <w:szCs w:val="24"/>
              </w:rPr>
              <w:t xml:space="preserve">Appreciates </w:t>
            </w:r>
          </w:p>
        </w:tc>
        <w:tc>
          <w:tcPr>
            <w:tcW w:w="3050" w:type="dxa"/>
            <w:tcBorders>
              <w:top w:val="single" w:sz="4" w:space="0" w:color="000000"/>
              <w:left w:val="single" w:sz="4" w:space="0" w:color="000000"/>
              <w:bottom w:val="single" w:sz="4" w:space="0" w:color="000000"/>
              <w:right w:val="single" w:sz="4" w:space="0" w:color="000000"/>
            </w:tcBorders>
            <w:vAlign w:val="bottom"/>
            <w:hideMark/>
          </w:tcPr>
          <w:p w:rsidR="00CA5BBC" w:rsidRPr="00C64770" w:rsidRDefault="00CA5BBC" w:rsidP="00C64770">
            <w:pPr>
              <w:spacing w:after="0" w:line="480" w:lineRule="auto"/>
              <w:ind w:left="0" w:firstLine="0"/>
              <w:rPr>
                <w:rFonts w:ascii="Times New Roman" w:hAnsi="Times New Roman" w:cs="Times New Roman"/>
                <w:sz w:val="24"/>
                <w:szCs w:val="24"/>
              </w:rPr>
            </w:pPr>
            <w:r w:rsidRPr="00C64770">
              <w:rPr>
                <w:rFonts w:ascii="Times New Roman" w:hAnsi="Times New Roman" w:cs="Times New Roman"/>
                <w:b/>
                <w:sz w:val="24"/>
                <w:szCs w:val="24"/>
              </w:rPr>
              <w:t xml:space="preserve">Depreciates </w:t>
            </w:r>
          </w:p>
        </w:tc>
      </w:tr>
      <w:tr w:rsidR="00CA5BBC" w:rsidRPr="00C64770" w:rsidTr="00CA5BBC">
        <w:trPr>
          <w:trHeight w:val="300"/>
        </w:trPr>
        <w:tc>
          <w:tcPr>
            <w:tcW w:w="2278" w:type="dxa"/>
            <w:tcBorders>
              <w:top w:val="single" w:sz="4" w:space="0" w:color="000000"/>
              <w:left w:val="single" w:sz="4" w:space="0" w:color="000000"/>
              <w:bottom w:val="single" w:sz="4" w:space="0" w:color="000000"/>
              <w:right w:val="single" w:sz="4" w:space="0" w:color="000000"/>
            </w:tcBorders>
            <w:hideMark/>
          </w:tcPr>
          <w:p w:rsidR="00CA5BBC" w:rsidRPr="00C64770" w:rsidRDefault="00CA5BBC" w:rsidP="00C64770">
            <w:pPr>
              <w:spacing w:after="0" w:line="480" w:lineRule="auto"/>
              <w:ind w:left="3" w:firstLine="0"/>
              <w:rPr>
                <w:rFonts w:ascii="Times New Roman" w:hAnsi="Times New Roman" w:cs="Times New Roman"/>
                <w:sz w:val="24"/>
                <w:szCs w:val="24"/>
              </w:rPr>
            </w:pPr>
            <w:r w:rsidRPr="00C64770">
              <w:rPr>
                <w:rFonts w:ascii="Times New Roman" w:hAnsi="Times New Roman" w:cs="Times New Roman"/>
                <w:sz w:val="24"/>
                <w:szCs w:val="24"/>
              </w:rPr>
              <w:t xml:space="preserve">Net Asset </w:t>
            </w:r>
          </w:p>
        </w:tc>
        <w:tc>
          <w:tcPr>
            <w:tcW w:w="3053" w:type="dxa"/>
            <w:tcBorders>
              <w:top w:val="single" w:sz="4" w:space="0" w:color="000000"/>
              <w:left w:val="single" w:sz="4" w:space="0" w:color="000000"/>
              <w:bottom w:val="single" w:sz="4" w:space="0" w:color="000000"/>
              <w:right w:val="single" w:sz="4" w:space="0" w:color="000000"/>
            </w:tcBorders>
            <w:hideMark/>
          </w:tcPr>
          <w:p w:rsidR="00CA5BBC" w:rsidRPr="00C64770" w:rsidRDefault="00CA5BBC" w:rsidP="00C64770">
            <w:pPr>
              <w:spacing w:after="0" w:line="480" w:lineRule="auto"/>
              <w:ind w:left="3" w:firstLine="0"/>
              <w:rPr>
                <w:rFonts w:ascii="Times New Roman" w:hAnsi="Times New Roman" w:cs="Times New Roman"/>
                <w:sz w:val="24"/>
                <w:szCs w:val="24"/>
              </w:rPr>
            </w:pPr>
            <w:r w:rsidRPr="00C64770">
              <w:rPr>
                <w:rFonts w:ascii="Times New Roman" w:hAnsi="Times New Roman" w:cs="Times New Roman"/>
                <w:sz w:val="24"/>
                <w:szCs w:val="24"/>
              </w:rPr>
              <w:t xml:space="preserve">Positive Translation adjustment </w:t>
            </w:r>
          </w:p>
        </w:tc>
        <w:tc>
          <w:tcPr>
            <w:tcW w:w="3050" w:type="dxa"/>
            <w:tcBorders>
              <w:top w:val="single" w:sz="4" w:space="0" w:color="000000"/>
              <w:left w:val="single" w:sz="4" w:space="0" w:color="000000"/>
              <w:bottom w:val="single" w:sz="4" w:space="0" w:color="000000"/>
              <w:right w:val="single" w:sz="4" w:space="0" w:color="000000"/>
            </w:tcBorders>
            <w:hideMark/>
          </w:tcPr>
          <w:p w:rsidR="00CA5BBC" w:rsidRPr="00C64770" w:rsidRDefault="00CA5BBC" w:rsidP="00C64770">
            <w:pPr>
              <w:spacing w:after="0" w:line="480" w:lineRule="auto"/>
              <w:ind w:left="0" w:firstLine="0"/>
              <w:rPr>
                <w:rFonts w:ascii="Times New Roman" w:hAnsi="Times New Roman" w:cs="Times New Roman"/>
                <w:sz w:val="24"/>
                <w:szCs w:val="24"/>
              </w:rPr>
            </w:pPr>
            <w:r w:rsidRPr="00C64770">
              <w:rPr>
                <w:rFonts w:ascii="Times New Roman" w:hAnsi="Times New Roman" w:cs="Times New Roman"/>
                <w:sz w:val="24"/>
                <w:szCs w:val="24"/>
              </w:rPr>
              <w:t xml:space="preserve">Negative Translation adjustment </w:t>
            </w:r>
          </w:p>
        </w:tc>
      </w:tr>
      <w:tr w:rsidR="00CA5BBC" w:rsidRPr="00C64770" w:rsidTr="00CA5BBC">
        <w:trPr>
          <w:trHeight w:val="302"/>
        </w:trPr>
        <w:tc>
          <w:tcPr>
            <w:tcW w:w="2278" w:type="dxa"/>
            <w:tcBorders>
              <w:top w:val="single" w:sz="4" w:space="0" w:color="000000"/>
              <w:left w:val="single" w:sz="4" w:space="0" w:color="000000"/>
              <w:bottom w:val="single" w:sz="4" w:space="0" w:color="000000"/>
              <w:right w:val="single" w:sz="4" w:space="0" w:color="000000"/>
            </w:tcBorders>
            <w:hideMark/>
          </w:tcPr>
          <w:p w:rsidR="00CA5BBC" w:rsidRPr="00C64770" w:rsidRDefault="00CA5BBC" w:rsidP="00C64770">
            <w:pPr>
              <w:spacing w:after="0" w:line="480" w:lineRule="auto"/>
              <w:ind w:left="3" w:firstLine="0"/>
              <w:rPr>
                <w:rFonts w:ascii="Times New Roman" w:hAnsi="Times New Roman" w:cs="Times New Roman"/>
                <w:sz w:val="24"/>
                <w:szCs w:val="24"/>
              </w:rPr>
            </w:pPr>
            <w:r w:rsidRPr="00C64770">
              <w:rPr>
                <w:rFonts w:ascii="Times New Roman" w:hAnsi="Times New Roman" w:cs="Times New Roman"/>
                <w:sz w:val="24"/>
                <w:szCs w:val="24"/>
              </w:rPr>
              <w:t xml:space="preserve">Net Liability </w:t>
            </w:r>
          </w:p>
        </w:tc>
        <w:tc>
          <w:tcPr>
            <w:tcW w:w="3053" w:type="dxa"/>
            <w:tcBorders>
              <w:top w:val="single" w:sz="4" w:space="0" w:color="000000"/>
              <w:left w:val="single" w:sz="4" w:space="0" w:color="000000"/>
              <w:bottom w:val="single" w:sz="4" w:space="0" w:color="000000"/>
              <w:right w:val="single" w:sz="4" w:space="0" w:color="000000"/>
            </w:tcBorders>
            <w:hideMark/>
          </w:tcPr>
          <w:p w:rsidR="00CA5BBC" w:rsidRPr="00C64770" w:rsidRDefault="00CA5BBC" w:rsidP="00C64770">
            <w:pPr>
              <w:spacing w:after="0" w:line="480" w:lineRule="auto"/>
              <w:ind w:left="2" w:firstLine="0"/>
              <w:rPr>
                <w:rFonts w:ascii="Times New Roman" w:hAnsi="Times New Roman" w:cs="Times New Roman"/>
                <w:sz w:val="24"/>
                <w:szCs w:val="24"/>
              </w:rPr>
            </w:pPr>
            <w:r w:rsidRPr="00C64770">
              <w:rPr>
                <w:rFonts w:ascii="Times New Roman" w:hAnsi="Times New Roman" w:cs="Times New Roman"/>
                <w:sz w:val="24"/>
                <w:szCs w:val="24"/>
              </w:rPr>
              <w:t xml:space="preserve">Negative Translation adjustment </w:t>
            </w:r>
          </w:p>
        </w:tc>
        <w:tc>
          <w:tcPr>
            <w:tcW w:w="3050" w:type="dxa"/>
            <w:tcBorders>
              <w:top w:val="single" w:sz="4" w:space="0" w:color="000000"/>
              <w:left w:val="single" w:sz="4" w:space="0" w:color="000000"/>
              <w:bottom w:val="single" w:sz="4" w:space="0" w:color="000000"/>
              <w:right w:val="single" w:sz="4" w:space="0" w:color="000000"/>
            </w:tcBorders>
            <w:hideMark/>
          </w:tcPr>
          <w:p w:rsidR="00CA5BBC" w:rsidRPr="00C64770" w:rsidRDefault="00CA5BBC" w:rsidP="00C64770">
            <w:pPr>
              <w:spacing w:after="0" w:line="480" w:lineRule="auto"/>
              <w:ind w:left="0" w:firstLine="0"/>
              <w:rPr>
                <w:rFonts w:ascii="Times New Roman" w:hAnsi="Times New Roman" w:cs="Times New Roman"/>
                <w:sz w:val="24"/>
                <w:szCs w:val="24"/>
              </w:rPr>
            </w:pPr>
            <w:r w:rsidRPr="00C64770">
              <w:rPr>
                <w:rFonts w:ascii="Times New Roman" w:hAnsi="Times New Roman" w:cs="Times New Roman"/>
                <w:sz w:val="24"/>
                <w:szCs w:val="24"/>
              </w:rPr>
              <w:t xml:space="preserve">Positive Translation adjustment </w:t>
            </w:r>
          </w:p>
        </w:tc>
      </w:tr>
    </w:tbl>
    <w:p w:rsidR="00CA5BBC" w:rsidRPr="00C64770" w:rsidRDefault="00CA5BBC" w:rsidP="00C64770">
      <w:pPr>
        <w:spacing w:after="212" w:line="480" w:lineRule="auto"/>
        <w:ind w:left="0" w:firstLine="0"/>
        <w:rPr>
          <w:rFonts w:ascii="Times New Roman" w:hAnsi="Times New Roman" w:cs="Times New Roman"/>
          <w:sz w:val="24"/>
          <w:szCs w:val="24"/>
        </w:rPr>
      </w:pPr>
      <w:r w:rsidRPr="00C64770">
        <w:rPr>
          <w:rFonts w:ascii="Times New Roman" w:hAnsi="Times New Roman" w:cs="Times New Roman"/>
          <w:sz w:val="24"/>
          <w:szCs w:val="24"/>
        </w:rPr>
        <w:t xml:space="preserve"> </w:t>
      </w:r>
    </w:p>
    <w:p w:rsidR="00CA5BBC" w:rsidRPr="00C64770" w:rsidRDefault="00CA5BBC" w:rsidP="00C64770">
      <w:pPr>
        <w:spacing w:after="210" w:line="480" w:lineRule="auto"/>
        <w:ind w:left="0" w:right="-15" w:firstLine="0"/>
        <w:rPr>
          <w:rFonts w:ascii="Times New Roman" w:hAnsi="Times New Roman" w:cs="Times New Roman"/>
          <w:sz w:val="24"/>
          <w:szCs w:val="24"/>
        </w:rPr>
      </w:pPr>
      <w:r w:rsidRPr="00C64770">
        <w:rPr>
          <w:rFonts w:ascii="Times New Roman" w:hAnsi="Times New Roman" w:cs="Times New Roman"/>
          <w:b/>
          <w:sz w:val="24"/>
          <w:szCs w:val="24"/>
        </w:rPr>
        <w:t xml:space="preserve">TRANSLATION METHODS   </w:t>
      </w:r>
    </w:p>
    <w:p w:rsidR="00CA5BBC" w:rsidRPr="00C64770" w:rsidRDefault="00CA5BBC" w:rsidP="00C64770">
      <w:pPr>
        <w:spacing w:line="480" w:lineRule="auto"/>
        <w:rPr>
          <w:rFonts w:ascii="Times New Roman" w:hAnsi="Times New Roman" w:cs="Times New Roman"/>
          <w:sz w:val="24"/>
          <w:szCs w:val="24"/>
        </w:rPr>
      </w:pPr>
      <w:r w:rsidRPr="00C64770">
        <w:rPr>
          <w:rFonts w:ascii="Times New Roman" w:hAnsi="Times New Roman" w:cs="Times New Roman"/>
          <w:sz w:val="24"/>
          <w:szCs w:val="24"/>
        </w:rPr>
        <w:t xml:space="preserve"> Four major methods of translating foreign currency financial statements have been used worldwide: </w:t>
      </w:r>
    </w:p>
    <w:p w:rsidR="00CA5BBC" w:rsidRPr="00C64770" w:rsidRDefault="00CA5BBC" w:rsidP="00C64770">
      <w:pPr>
        <w:pStyle w:val="ListParagraph"/>
        <w:numPr>
          <w:ilvl w:val="0"/>
          <w:numId w:val="1"/>
        </w:numPr>
        <w:spacing w:after="209" w:line="480" w:lineRule="auto"/>
        <w:ind w:right="4733"/>
        <w:rPr>
          <w:rFonts w:ascii="Times New Roman" w:hAnsi="Times New Roman" w:cs="Times New Roman"/>
          <w:sz w:val="24"/>
          <w:szCs w:val="24"/>
        </w:rPr>
      </w:pPr>
      <w:r w:rsidRPr="00C64770">
        <w:rPr>
          <w:rFonts w:ascii="Times New Roman" w:hAnsi="Times New Roman" w:cs="Times New Roman"/>
          <w:sz w:val="24"/>
          <w:szCs w:val="24"/>
        </w:rPr>
        <w:t xml:space="preserve">Current/noncurrent method, </w:t>
      </w:r>
    </w:p>
    <w:p w:rsidR="00CA5BBC" w:rsidRPr="00C64770" w:rsidRDefault="00CA5BBC" w:rsidP="00C64770">
      <w:pPr>
        <w:pStyle w:val="ListParagraph"/>
        <w:numPr>
          <w:ilvl w:val="0"/>
          <w:numId w:val="1"/>
        </w:numPr>
        <w:spacing w:after="209" w:line="480" w:lineRule="auto"/>
        <w:ind w:right="4733"/>
        <w:rPr>
          <w:rFonts w:ascii="Times New Roman" w:hAnsi="Times New Roman" w:cs="Times New Roman"/>
          <w:sz w:val="24"/>
          <w:szCs w:val="24"/>
        </w:rPr>
      </w:pPr>
      <w:r w:rsidRPr="00C64770">
        <w:rPr>
          <w:rFonts w:ascii="Times New Roman" w:hAnsi="Times New Roman" w:cs="Times New Roman"/>
          <w:sz w:val="24"/>
          <w:szCs w:val="24"/>
        </w:rPr>
        <w:t xml:space="preserve">Monetary/nonmonetary method,  </w:t>
      </w:r>
    </w:p>
    <w:p w:rsidR="00CA5BBC" w:rsidRPr="00C64770" w:rsidRDefault="00CA5BBC" w:rsidP="00C64770">
      <w:pPr>
        <w:pStyle w:val="ListParagraph"/>
        <w:numPr>
          <w:ilvl w:val="0"/>
          <w:numId w:val="1"/>
        </w:numPr>
        <w:spacing w:after="209" w:line="480" w:lineRule="auto"/>
        <w:ind w:right="4733"/>
        <w:rPr>
          <w:rFonts w:ascii="Times New Roman" w:hAnsi="Times New Roman" w:cs="Times New Roman"/>
          <w:sz w:val="24"/>
          <w:szCs w:val="24"/>
        </w:rPr>
      </w:pPr>
      <w:r w:rsidRPr="00C64770">
        <w:rPr>
          <w:rFonts w:ascii="Times New Roman" w:hAnsi="Times New Roman" w:cs="Times New Roman"/>
          <w:sz w:val="24"/>
          <w:szCs w:val="24"/>
        </w:rPr>
        <w:t xml:space="preserve">Temporal method, and </w:t>
      </w:r>
    </w:p>
    <w:p w:rsidR="00CA5BBC" w:rsidRPr="00C64770" w:rsidRDefault="00CA5BBC" w:rsidP="00C64770">
      <w:pPr>
        <w:pStyle w:val="ListParagraph"/>
        <w:numPr>
          <w:ilvl w:val="0"/>
          <w:numId w:val="1"/>
        </w:numPr>
        <w:spacing w:after="209" w:line="480" w:lineRule="auto"/>
        <w:ind w:right="4733"/>
        <w:rPr>
          <w:rFonts w:ascii="Times New Roman" w:hAnsi="Times New Roman" w:cs="Times New Roman"/>
          <w:sz w:val="24"/>
          <w:szCs w:val="24"/>
        </w:rPr>
      </w:pPr>
      <w:r w:rsidRPr="00C64770">
        <w:rPr>
          <w:rFonts w:ascii="Times New Roman" w:hAnsi="Times New Roman" w:cs="Times New Roman"/>
          <w:sz w:val="24"/>
          <w:szCs w:val="24"/>
        </w:rPr>
        <w:t>Current rate (or closing rate) method.</w:t>
      </w:r>
    </w:p>
    <w:p w:rsidR="00CA5BBC" w:rsidRPr="00C64770" w:rsidRDefault="00CA5BBC" w:rsidP="00B40244">
      <w:pPr>
        <w:spacing w:after="54" w:line="480" w:lineRule="auto"/>
        <w:ind w:left="0" w:right="-15" w:firstLine="0"/>
        <w:rPr>
          <w:rFonts w:ascii="Times New Roman" w:hAnsi="Times New Roman" w:cs="Times New Roman"/>
          <w:sz w:val="24"/>
          <w:szCs w:val="24"/>
        </w:rPr>
      </w:pPr>
      <w:r w:rsidRPr="00C64770">
        <w:rPr>
          <w:rFonts w:ascii="Times New Roman" w:hAnsi="Times New Roman" w:cs="Times New Roman"/>
          <w:b/>
          <w:sz w:val="24"/>
          <w:szCs w:val="24"/>
        </w:rPr>
        <w:t>Current/Noncurrent Method</w:t>
      </w:r>
      <w:r w:rsidRPr="00C64770">
        <w:rPr>
          <w:rFonts w:ascii="Times New Roman" w:hAnsi="Times New Roman" w:cs="Times New Roman"/>
          <w:sz w:val="24"/>
          <w:szCs w:val="24"/>
        </w:rPr>
        <w:t xml:space="preserve"> </w:t>
      </w:r>
    </w:p>
    <w:p w:rsidR="00CA5BBC" w:rsidRPr="00C64770" w:rsidRDefault="00CA5BBC" w:rsidP="00C64770">
      <w:pPr>
        <w:spacing w:line="480" w:lineRule="auto"/>
        <w:ind w:left="0" w:firstLine="0"/>
        <w:rPr>
          <w:rFonts w:ascii="Times New Roman" w:hAnsi="Times New Roman" w:cs="Times New Roman"/>
          <w:sz w:val="24"/>
          <w:szCs w:val="24"/>
        </w:rPr>
      </w:pPr>
      <w:r w:rsidRPr="00C64770">
        <w:rPr>
          <w:rFonts w:ascii="Times New Roman" w:hAnsi="Times New Roman" w:cs="Times New Roman"/>
          <w:sz w:val="24"/>
          <w:szCs w:val="24"/>
        </w:rPr>
        <w:t>The rules for the current/noncurrent method are as follows: current assets and current liabilities are translated at the current exchange rate; noncurrent assets, noncurrent liabilities, and stockholders’ equity accounts are translated at historical exchange rates.</w:t>
      </w:r>
    </w:p>
    <w:p w:rsidR="00C64770" w:rsidRPr="00C64770" w:rsidRDefault="00C64770" w:rsidP="00C64770">
      <w:pPr>
        <w:spacing w:after="54" w:line="480" w:lineRule="auto"/>
        <w:ind w:right="-15"/>
        <w:rPr>
          <w:rFonts w:ascii="Times New Roman" w:hAnsi="Times New Roman" w:cs="Times New Roman"/>
          <w:sz w:val="24"/>
          <w:szCs w:val="24"/>
        </w:rPr>
      </w:pPr>
      <w:r w:rsidRPr="00C64770">
        <w:rPr>
          <w:rFonts w:ascii="Times New Roman" w:hAnsi="Times New Roman" w:cs="Times New Roman"/>
          <w:b/>
          <w:sz w:val="24"/>
          <w:szCs w:val="24"/>
        </w:rPr>
        <w:t xml:space="preserve">Monetary/Nonmonetary Method </w:t>
      </w:r>
    </w:p>
    <w:p w:rsidR="00C64770" w:rsidRPr="00C64770" w:rsidRDefault="00C64770" w:rsidP="00C64770">
      <w:pPr>
        <w:spacing w:line="480" w:lineRule="auto"/>
        <w:ind w:left="0" w:firstLine="0"/>
        <w:rPr>
          <w:rFonts w:ascii="Times New Roman" w:hAnsi="Times New Roman" w:cs="Times New Roman"/>
          <w:sz w:val="24"/>
          <w:szCs w:val="24"/>
        </w:rPr>
      </w:pPr>
      <w:r w:rsidRPr="00C64770">
        <w:rPr>
          <w:rFonts w:ascii="Times New Roman" w:hAnsi="Times New Roman" w:cs="Times New Roman"/>
          <w:sz w:val="24"/>
          <w:szCs w:val="24"/>
        </w:rPr>
        <w:t xml:space="preserve">Under this method, monetary assets and liabilities are translated at the current exchange rates; nonmonetary assets, nonmonetary liabilities, and stockholders’ equity accounts are translated at historical exchange rates. Monetary assets are those assets whose value does not fluctuate over time—primarily cash and receivables. Nonmonetary assets are assets whose monetary value can fluctuate. They consist of marketable securities, inventory, prepaid expenses, investments, non-current assets, and intangible assets; that is, all assets other than cash and receivables. Monetary liabilities are those liabilities whose monetary value cannot fluctuate over time, which is true for most payables. </w:t>
      </w:r>
    </w:p>
    <w:p w:rsidR="00C64770" w:rsidRPr="00C64770" w:rsidRDefault="00C64770" w:rsidP="00C64770">
      <w:pPr>
        <w:spacing w:after="54" w:line="480" w:lineRule="auto"/>
        <w:ind w:right="-15"/>
        <w:rPr>
          <w:rFonts w:ascii="Times New Roman" w:hAnsi="Times New Roman" w:cs="Times New Roman"/>
          <w:sz w:val="24"/>
          <w:szCs w:val="24"/>
        </w:rPr>
      </w:pPr>
      <w:r w:rsidRPr="00C64770">
        <w:rPr>
          <w:rFonts w:ascii="Times New Roman" w:hAnsi="Times New Roman" w:cs="Times New Roman"/>
          <w:b/>
          <w:sz w:val="24"/>
          <w:szCs w:val="24"/>
        </w:rPr>
        <w:t>Temporal Method</w:t>
      </w:r>
      <w:r w:rsidRPr="00C64770">
        <w:rPr>
          <w:rFonts w:ascii="Times New Roman" w:hAnsi="Times New Roman" w:cs="Times New Roman"/>
          <w:sz w:val="24"/>
          <w:szCs w:val="24"/>
        </w:rPr>
        <w:t xml:space="preserve"> </w:t>
      </w:r>
    </w:p>
    <w:p w:rsidR="00C64770" w:rsidRPr="00C64770" w:rsidRDefault="00C64770" w:rsidP="00C64770">
      <w:pPr>
        <w:spacing w:line="480" w:lineRule="auto"/>
        <w:ind w:left="0" w:firstLine="0"/>
        <w:rPr>
          <w:rFonts w:ascii="Times New Roman" w:hAnsi="Times New Roman" w:cs="Times New Roman"/>
          <w:sz w:val="24"/>
          <w:szCs w:val="24"/>
        </w:rPr>
      </w:pPr>
      <w:r w:rsidRPr="00C64770">
        <w:rPr>
          <w:rFonts w:ascii="Times New Roman" w:hAnsi="Times New Roman" w:cs="Times New Roman"/>
          <w:sz w:val="24"/>
          <w:szCs w:val="24"/>
        </w:rPr>
        <w:t xml:space="preserve"> The basic objective underlying the temporal method of translation is to produce a set of parent currency translated financial statements as if the foreign subsidiary had actually used the parent currency in conducting its operations.</w:t>
      </w:r>
    </w:p>
    <w:p w:rsidR="00C64770" w:rsidRPr="00C64770" w:rsidRDefault="00C64770" w:rsidP="00C64770">
      <w:pPr>
        <w:spacing w:after="210" w:line="480" w:lineRule="auto"/>
        <w:ind w:right="-15"/>
        <w:rPr>
          <w:rFonts w:ascii="Times New Roman" w:hAnsi="Times New Roman" w:cs="Times New Roman"/>
          <w:sz w:val="24"/>
          <w:szCs w:val="24"/>
        </w:rPr>
      </w:pPr>
      <w:r w:rsidRPr="00C64770">
        <w:rPr>
          <w:rFonts w:ascii="Times New Roman" w:hAnsi="Times New Roman" w:cs="Times New Roman"/>
          <w:b/>
          <w:sz w:val="24"/>
          <w:szCs w:val="24"/>
        </w:rPr>
        <w:t>Current Rate Method</w:t>
      </w:r>
      <w:r w:rsidRPr="00C64770">
        <w:rPr>
          <w:rFonts w:ascii="Times New Roman" w:hAnsi="Times New Roman" w:cs="Times New Roman"/>
          <w:sz w:val="24"/>
          <w:szCs w:val="24"/>
        </w:rPr>
        <w:t xml:space="preserve"> </w:t>
      </w:r>
    </w:p>
    <w:p w:rsidR="00C64770" w:rsidRPr="00C64770" w:rsidRDefault="00C64770" w:rsidP="00C64770">
      <w:pPr>
        <w:spacing w:line="480" w:lineRule="auto"/>
        <w:ind w:left="0" w:firstLine="0"/>
        <w:rPr>
          <w:rFonts w:ascii="Times New Roman" w:hAnsi="Times New Roman" w:cs="Times New Roman"/>
          <w:sz w:val="24"/>
          <w:szCs w:val="24"/>
        </w:rPr>
      </w:pPr>
      <w:r w:rsidRPr="00C64770">
        <w:rPr>
          <w:rFonts w:ascii="Times New Roman" w:hAnsi="Times New Roman" w:cs="Times New Roman"/>
          <w:sz w:val="24"/>
          <w:szCs w:val="24"/>
        </w:rPr>
        <w:t>The fundamental concept underlying the current rate method is that a parent’s entire investment in a foreign operation is exposed to foreign exchange risk and translation of the foreign operation’s financial statements should reflect this risk.</w:t>
      </w:r>
    </w:p>
    <w:sectPr w:rsidR="00C64770" w:rsidRPr="00C64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0C87"/>
    <w:multiLevelType w:val="hybridMultilevel"/>
    <w:tmpl w:val="19C26F1A"/>
    <w:lvl w:ilvl="0" w:tplc="0E82E2E6">
      <w:start w:val="1"/>
      <w:numFmt w:val="lowerRoman"/>
      <w:lvlText w:val="%1."/>
      <w:lvlJc w:val="left"/>
      <w:pPr>
        <w:ind w:left="1070" w:hanging="72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BC"/>
    <w:rsid w:val="0025691A"/>
    <w:rsid w:val="00B40244"/>
    <w:rsid w:val="00BC6A41"/>
    <w:rsid w:val="00C64770"/>
    <w:rsid w:val="00CA5BBC"/>
    <w:rsid w:val="00FC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BC"/>
    <w:pPr>
      <w:spacing w:after="199" w:line="268" w:lineRule="auto"/>
      <w:ind w:left="-5" w:hanging="10"/>
      <w:jc w:val="both"/>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BC"/>
    <w:pPr>
      <w:ind w:left="720"/>
      <w:contextualSpacing/>
    </w:pPr>
  </w:style>
  <w:style w:type="table" w:customStyle="1" w:styleId="TableGrid">
    <w:name w:val="TableGrid"/>
    <w:rsid w:val="00CA5BBC"/>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BC"/>
    <w:pPr>
      <w:spacing w:after="199" w:line="268" w:lineRule="auto"/>
      <w:ind w:left="-5" w:hanging="10"/>
      <w:jc w:val="both"/>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BC"/>
    <w:pPr>
      <w:ind w:left="720"/>
      <w:contextualSpacing/>
    </w:pPr>
  </w:style>
  <w:style w:type="table" w:customStyle="1" w:styleId="TableGrid">
    <w:name w:val="TableGrid"/>
    <w:rsid w:val="00CA5BB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48511">
      <w:bodyDiv w:val="1"/>
      <w:marLeft w:val="0"/>
      <w:marRight w:val="0"/>
      <w:marTop w:val="0"/>
      <w:marBottom w:val="0"/>
      <w:divBdr>
        <w:top w:val="none" w:sz="0" w:space="0" w:color="auto"/>
        <w:left w:val="none" w:sz="0" w:space="0" w:color="auto"/>
        <w:bottom w:val="none" w:sz="0" w:space="0" w:color="auto"/>
        <w:right w:val="none" w:sz="0" w:space="0" w:color="auto"/>
      </w:divBdr>
    </w:div>
    <w:div w:id="280302955">
      <w:bodyDiv w:val="1"/>
      <w:marLeft w:val="0"/>
      <w:marRight w:val="0"/>
      <w:marTop w:val="0"/>
      <w:marBottom w:val="0"/>
      <w:divBdr>
        <w:top w:val="none" w:sz="0" w:space="0" w:color="auto"/>
        <w:left w:val="none" w:sz="0" w:space="0" w:color="auto"/>
        <w:bottom w:val="none" w:sz="0" w:space="0" w:color="auto"/>
        <w:right w:val="none" w:sz="0" w:space="0" w:color="auto"/>
      </w:divBdr>
    </w:div>
    <w:div w:id="1002466572">
      <w:bodyDiv w:val="1"/>
      <w:marLeft w:val="0"/>
      <w:marRight w:val="0"/>
      <w:marTop w:val="0"/>
      <w:marBottom w:val="0"/>
      <w:divBdr>
        <w:top w:val="none" w:sz="0" w:space="0" w:color="auto"/>
        <w:left w:val="none" w:sz="0" w:space="0" w:color="auto"/>
        <w:bottom w:val="none" w:sz="0" w:space="0" w:color="auto"/>
        <w:right w:val="none" w:sz="0" w:space="0" w:color="auto"/>
      </w:divBdr>
    </w:div>
    <w:div w:id="1071584248">
      <w:bodyDiv w:val="1"/>
      <w:marLeft w:val="0"/>
      <w:marRight w:val="0"/>
      <w:marTop w:val="0"/>
      <w:marBottom w:val="0"/>
      <w:divBdr>
        <w:top w:val="none" w:sz="0" w:space="0" w:color="auto"/>
        <w:left w:val="none" w:sz="0" w:space="0" w:color="auto"/>
        <w:bottom w:val="none" w:sz="0" w:space="0" w:color="auto"/>
        <w:right w:val="none" w:sz="0" w:space="0" w:color="auto"/>
      </w:divBdr>
    </w:div>
    <w:div w:id="1161694445">
      <w:bodyDiv w:val="1"/>
      <w:marLeft w:val="0"/>
      <w:marRight w:val="0"/>
      <w:marTop w:val="0"/>
      <w:marBottom w:val="0"/>
      <w:divBdr>
        <w:top w:val="none" w:sz="0" w:space="0" w:color="auto"/>
        <w:left w:val="none" w:sz="0" w:space="0" w:color="auto"/>
        <w:bottom w:val="none" w:sz="0" w:space="0" w:color="auto"/>
        <w:right w:val="none" w:sz="0" w:space="0" w:color="auto"/>
      </w:divBdr>
    </w:div>
    <w:div w:id="1201241526">
      <w:bodyDiv w:val="1"/>
      <w:marLeft w:val="0"/>
      <w:marRight w:val="0"/>
      <w:marTop w:val="0"/>
      <w:marBottom w:val="0"/>
      <w:divBdr>
        <w:top w:val="none" w:sz="0" w:space="0" w:color="auto"/>
        <w:left w:val="none" w:sz="0" w:space="0" w:color="auto"/>
        <w:bottom w:val="none" w:sz="0" w:space="0" w:color="auto"/>
        <w:right w:val="none" w:sz="0" w:space="0" w:color="auto"/>
      </w:divBdr>
    </w:div>
    <w:div w:id="1495297878">
      <w:bodyDiv w:val="1"/>
      <w:marLeft w:val="0"/>
      <w:marRight w:val="0"/>
      <w:marTop w:val="0"/>
      <w:marBottom w:val="0"/>
      <w:divBdr>
        <w:top w:val="none" w:sz="0" w:space="0" w:color="auto"/>
        <w:left w:val="none" w:sz="0" w:space="0" w:color="auto"/>
        <w:bottom w:val="none" w:sz="0" w:space="0" w:color="auto"/>
        <w:right w:val="none" w:sz="0" w:space="0" w:color="auto"/>
      </w:divBdr>
    </w:div>
    <w:div w:id="1699117662">
      <w:bodyDiv w:val="1"/>
      <w:marLeft w:val="0"/>
      <w:marRight w:val="0"/>
      <w:marTop w:val="0"/>
      <w:marBottom w:val="0"/>
      <w:divBdr>
        <w:top w:val="none" w:sz="0" w:space="0" w:color="auto"/>
        <w:left w:val="none" w:sz="0" w:space="0" w:color="auto"/>
        <w:bottom w:val="none" w:sz="0" w:space="0" w:color="auto"/>
        <w:right w:val="none" w:sz="0" w:space="0" w:color="auto"/>
      </w:divBdr>
    </w:div>
    <w:div w:id="1873152840">
      <w:bodyDiv w:val="1"/>
      <w:marLeft w:val="0"/>
      <w:marRight w:val="0"/>
      <w:marTop w:val="0"/>
      <w:marBottom w:val="0"/>
      <w:divBdr>
        <w:top w:val="none" w:sz="0" w:space="0" w:color="auto"/>
        <w:left w:val="none" w:sz="0" w:space="0" w:color="auto"/>
        <w:bottom w:val="none" w:sz="0" w:space="0" w:color="auto"/>
        <w:right w:val="none" w:sz="0" w:space="0" w:color="auto"/>
      </w:divBdr>
    </w:div>
    <w:div w:id="1976524594">
      <w:bodyDiv w:val="1"/>
      <w:marLeft w:val="0"/>
      <w:marRight w:val="0"/>
      <w:marTop w:val="0"/>
      <w:marBottom w:val="0"/>
      <w:divBdr>
        <w:top w:val="none" w:sz="0" w:space="0" w:color="auto"/>
        <w:left w:val="none" w:sz="0" w:space="0" w:color="auto"/>
        <w:bottom w:val="none" w:sz="0" w:space="0" w:color="auto"/>
        <w:right w:val="none" w:sz="0" w:space="0" w:color="auto"/>
      </w:divBdr>
    </w:div>
    <w:div w:id="2054427268">
      <w:bodyDiv w:val="1"/>
      <w:marLeft w:val="0"/>
      <w:marRight w:val="0"/>
      <w:marTop w:val="0"/>
      <w:marBottom w:val="0"/>
      <w:divBdr>
        <w:top w:val="none" w:sz="0" w:space="0" w:color="auto"/>
        <w:left w:val="none" w:sz="0" w:space="0" w:color="auto"/>
        <w:bottom w:val="none" w:sz="0" w:space="0" w:color="auto"/>
        <w:right w:val="none" w:sz="0" w:space="0" w:color="auto"/>
      </w:divBdr>
    </w:div>
    <w:div w:id="207029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Excellent Ogbewele</cp:lastModifiedBy>
  <cp:revision>4</cp:revision>
  <dcterms:created xsi:type="dcterms:W3CDTF">2020-04-13T07:45:00Z</dcterms:created>
  <dcterms:modified xsi:type="dcterms:W3CDTF">2020-04-13T08:14:00Z</dcterms:modified>
</cp:coreProperties>
</file>