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James evidence</w:t>
      </w:r>
    </w:p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17/eng06/049</w:t>
      </w:r>
    </w:p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Mechanical engineering</w:t>
      </w:r>
    </w:p>
    <w:p>
      <w:pPr>
        <w:pStyle w:val="style66"/>
        <w:spacing w:before="78" w:lineRule="auto" w:line="283"/>
        <w:ind w:left="119" w:right="9153" w:firstLine="0"/>
        <w:rPr/>
      </w:pPr>
      <w:r>
        <w:rPr>
          <w:lang w:val="en-US"/>
        </w:rPr>
        <w:t>Maths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j</w:t>
      </w:r>
      <w:r>
        <w:rPr>
          <w:lang w:val="en-US"/>
        </w:rPr>
        <w:t>ames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  <w:lang w:val="en-US"/>
        </w:rPr>
        <w:t>james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</Words>
  <Characters>769</Characters>
  <Application>WPS Office</Application>
  <DocSecurity>0</DocSecurity>
  <Paragraphs>49</Paragraphs>
  <ScaleCrop>false</ScaleCrop>
  <LinksUpToDate>false</LinksUpToDate>
  <CharactersWithSpaces>800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2020-04-13T19:42:13Z</dcterms:created>
  <dc:creator>OYINMIEBI</dc:creator>
  <lastModifiedBy>TECNO KB7</lastModifiedBy>
  <dcterms:modified xsi:type="dcterms:W3CDTF">2020-04-13T19:42:13Z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