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3A7" w:rsidRPr="00CC3945" w:rsidRDefault="000A23A7" w:rsidP="000A23A7">
      <w:pPr>
        <w:rPr>
          <w:sz w:val="24"/>
          <w:szCs w:val="24"/>
        </w:rPr>
      </w:pPr>
      <w:r w:rsidRPr="00CC3945">
        <w:rPr>
          <w:sz w:val="24"/>
          <w:szCs w:val="24"/>
        </w:rPr>
        <w:t>Name: Kenneth-</w:t>
      </w:r>
      <w:proofErr w:type="spellStart"/>
      <w:r w:rsidRPr="00CC3945">
        <w:rPr>
          <w:sz w:val="24"/>
          <w:szCs w:val="24"/>
        </w:rPr>
        <w:t>Sobijoh</w:t>
      </w:r>
      <w:proofErr w:type="spellEnd"/>
      <w:r w:rsidRPr="00CC3945">
        <w:rPr>
          <w:sz w:val="24"/>
          <w:szCs w:val="24"/>
        </w:rPr>
        <w:t xml:space="preserve"> </w:t>
      </w:r>
      <w:proofErr w:type="spellStart"/>
      <w:r w:rsidRPr="00CC3945">
        <w:rPr>
          <w:sz w:val="24"/>
          <w:szCs w:val="24"/>
        </w:rPr>
        <w:t>Yinla</w:t>
      </w:r>
      <w:proofErr w:type="spellEnd"/>
    </w:p>
    <w:p w:rsidR="000A23A7" w:rsidRPr="00CC3945" w:rsidRDefault="000A23A7" w:rsidP="000A23A7">
      <w:pPr>
        <w:rPr>
          <w:sz w:val="24"/>
          <w:szCs w:val="24"/>
        </w:rPr>
      </w:pPr>
      <w:r w:rsidRPr="00CC3945">
        <w:rPr>
          <w:sz w:val="24"/>
          <w:szCs w:val="24"/>
        </w:rPr>
        <w:t>Matric number: 18/Law01/133</w:t>
      </w:r>
    </w:p>
    <w:p w:rsidR="000A23A7" w:rsidRPr="00CC3945" w:rsidRDefault="000A23A7" w:rsidP="000A23A7">
      <w:pPr>
        <w:rPr>
          <w:sz w:val="24"/>
          <w:szCs w:val="24"/>
        </w:rPr>
      </w:pPr>
      <w:r w:rsidRPr="00CC3945">
        <w:rPr>
          <w:sz w:val="24"/>
          <w:szCs w:val="24"/>
        </w:rPr>
        <w:t>Level: 200</w:t>
      </w:r>
    </w:p>
    <w:p w:rsidR="000A23A7" w:rsidRPr="00CC3945" w:rsidRDefault="000A23A7" w:rsidP="000A23A7">
      <w:pPr>
        <w:rPr>
          <w:sz w:val="24"/>
          <w:szCs w:val="24"/>
        </w:rPr>
      </w:pPr>
      <w:r w:rsidRPr="00CC3945">
        <w:rPr>
          <w:sz w:val="24"/>
          <w:szCs w:val="24"/>
        </w:rPr>
        <w:t>COLLEGE: LAW</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 xml:space="preserve">ASSIGNMENT </w:t>
      </w:r>
    </w:p>
    <w:p w:rsidR="000A23A7" w:rsidRPr="00CC3945" w:rsidRDefault="000A23A7" w:rsidP="000A23A7">
      <w:pPr>
        <w:rPr>
          <w:sz w:val="24"/>
          <w:szCs w:val="24"/>
        </w:rPr>
      </w:pPr>
      <w:r w:rsidRPr="00CC3945">
        <w:rPr>
          <w:sz w:val="24"/>
          <w:szCs w:val="24"/>
        </w:rPr>
        <w:t xml:space="preserve">In not less that 2000 words, Explain explicitly how the Pandemic (COVID 19) has affected consumer buying </w:t>
      </w:r>
      <w:proofErr w:type="spellStart"/>
      <w:r w:rsidRPr="00CC3945">
        <w:rPr>
          <w:sz w:val="24"/>
          <w:szCs w:val="24"/>
        </w:rPr>
        <w:t>behavour</w:t>
      </w:r>
      <w:proofErr w:type="spellEnd"/>
      <w:r w:rsidRPr="00CC3945">
        <w:rPr>
          <w:sz w:val="24"/>
          <w:szCs w:val="24"/>
        </w:rPr>
        <w:t>.</w:t>
      </w:r>
    </w:p>
    <w:p w:rsidR="000A23A7" w:rsidRPr="00CC3945" w:rsidRDefault="000A23A7" w:rsidP="000A23A7">
      <w:pPr>
        <w:rPr>
          <w:sz w:val="24"/>
          <w:szCs w:val="24"/>
        </w:rPr>
      </w:pP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 xml:space="preserve">In countries heavily impacted by COVID-19, consumers are stockpiling food and other essential items, while isolating themselves from crowds. To find out how and when consumers started showing these </w:t>
      </w:r>
      <w:proofErr w:type="spellStart"/>
      <w:r w:rsidRPr="00CC3945">
        <w:rPr>
          <w:sz w:val="24"/>
          <w:szCs w:val="24"/>
        </w:rPr>
        <w:t>behavioral</w:t>
      </w:r>
      <w:proofErr w:type="spellEnd"/>
      <w:r w:rsidRPr="00CC3945">
        <w:rPr>
          <w:sz w:val="24"/>
          <w:szCs w:val="24"/>
        </w:rPr>
        <w:t xml:space="preserve"> changes, Nielsen1 conducted shopper </w:t>
      </w:r>
      <w:proofErr w:type="spellStart"/>
      <w:r w:rsidRPr="00CC3945">
        <w:rPr>
          <w:sz w:val="24"/>
          <w:szCs w:val="24"/>
        </w:rPr>
        <w:t>behavior</w:t>
      </w:r>
      <w:proofErr w:type="spellEnd"/>
      <w:r w:rsidRPr="00CC3945">
        <w:rPr>
          <w:sz w:val="24"/>
          <w:szCs w:val="24"/>
        </w:rPr>
        <w:t xml:space="preserve"> research that started during the beginning of the pandemic in China and extended to other countries that have also been affected. They monitored consumer trends, as COVID-19 news reached the general public and found out that consumers go through six </w:t>
      </w:r>
      <w:proofErr w:type="spellStart"/>
      <w:r w:rsidRPr="00CC3945">
        <w:rPr>
          <w:sz w:val="24"/>
          <w:szCs w:val="24"/>
        </w:rPr>
        <w:t>behavioral</w:t>
      </w:r>
      <w:proofErr w:type="spellEnd"/>
      <w:r w:rsidRPr="00CC3945">
        <w:rPr>
          <w:sz w:val="24"/>
          <w:szCs w:val="24"/>
        </w:rPr>
        <w:t xml:space="preserve"> stages based on their awareness of the COVID-19 spread in their communities: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1. Proactive health-minded buying: Increased interest in the acquisition of products that maintain well-being or health</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2. Reactive health management: Prioritization of products for infection containment (e.g. face masks)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3. Pantry preparation: Higher purchases of shelf-safe products and increased store visits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4. Quarantined living preparation: Increased online shopping, decreased store visits and first signs of strain on the supply chain</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lastRenderedPageBreak/>
        <w:t xml:space="preserve">5. Restricted living: Possible price gouging due to limited supplies and deterred online </w:t>
      </w:r>
      <w:proofErr w:type="spellStart"/>
      <w:r w:rsidRPr="00CC3945">
        <w:rPr>
          <w:sz w:val="24"/>
          <w:szCs w:val="24"/>
        </w:rPr>
        <w:t>fulfillment</w:t>
      </w:r>
      <w:proofErr w:type="spellEnd"/>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6. Living a new normal: Increased health awareness even as people return to their typical daily activities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 xml:space="preserve">Currently, the only country where consumers are starting to transition to the sixth stage is China, while the US has begun to move towards restricted living. So, what kind of possible long-lasting consumer </w:t>
      </w:r>
      <w:proofErr w:type="spellStart"/>
      <w:r w:rsidRPr="00CC3945">
        <w:rPr>
          <w:sz w:val="24"/>
          <w:szCs w:val="24"/>
        </w:rPr>
        <w:t>behavior</w:t>
      </w:r>
      <w:proofErr w:type="spellEnd"/>
      <w:r w:rsidRPr="00CC3945">
        <w:rPr>
          <w:sz w:val="24"/>
          <w:szCs w:val="24"/>
        </w:rPr>
        <w:t xml:space="preserve"> shifts can we expect as a result? It’s still too early to tell, but clear trends can be seen, which, if sustained, could lead to significant shifts in how consumers shop in the future.</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2018.2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day.4</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 xml:space="preserve">So, do these changes signal a shift into how consumers will behave in the long term? If the holidays are any indicator, even short-term adjustments in </w:t>
      </w:r>
      <w:proofErr w:type="spellStart"/>
      <w:r w:rsidRPr="00CC3945">
        <w:rPr>
          <w:sz w:val="24"/>
          <w:szCs w:val="24"/>
        </w:rPr>
        <w:t>behavior</w:t>
      </w:r>
      <w:proofErr w:type="spellEnd"/>
      <w:r w:rsidRPr="00CC3945">
        <w:rPr>
          <w:sz w:val="24"/>
          <w:szCs w:val="24"/>
        </w:rPr>
        <w:t xml:space="preserve"> can have long term effects. For example, during holidays, there’s an increase in the number of consumers purchasing online or on their mobile devices. We then see this </w:t>
      </w:r>
      <w:proofErr w:type="spellStart"/>
      <w:r w:rsidRPr="00CC3945">
        <w:rPr>
          <w:sz w:val="24"/>
          <w:szCs w:val="24"/>
        </w:rPr>
        <w:t>behavior</w:t>
      </w:r>
      <w:proofErr w:type="spellEnd"/>
      <w:r w:rsidRPr="00CC3945">
        <w:rPr>
          <w:sz w:val="24"/>
          <w:szCs w:val="24"/>
        </w:rPr>
        <w:t xml:space="preserve"> being sustained as new holiday seasons roll in, which means new habits have been established.</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Despite the rise in e-commerce activities due to the pandemic, most retailers have a bleak outlook for the rest of the year. This is because e-commerce typically represents only about 16%7 of their sales revenue. With many stores shutting their doors, it is in the best interest of businesses to maintain and grow their e-commerce strategy.</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 xml:space="preserve">As the population of most countries starts to move from quarantine preparations to restricted living, online </w:t>
      </w:r>
      <w:proofErr w:type="spellStart"/>
      <w:r w:rsidRPr="00CC3945">
        <w:rPr>
          <w:sz w:val="24"/>
          <w:szCs w:val="24"/>
        </w:rPr>
        <w:t>fulfillment</w:t>
      </w:r>
      <w:proofErr w:type="spellEnd"/>
      <w:r w:rsidRPr="00CC3945">
        <w:rPr>
          <w:sz w:val="24"/>
          <w:szCs w:val="24"/>
        </w:rPr>
        <w:t xml:space="preserve"> will be challenging due to strains in the supply chain. This has prompted many consumers to turn to Direct to Consumer (D2C) manufacturers to order and receive goods within a normal timeframe.</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prior.8</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Awareness of D2C manufacturers has increased in the last few years, with almost 48% of manufacturers racing to build D2C channels, and 87% seeing these channels being relevant to their products and consumers.9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Trust and loyalty</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Ease the transition.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Manage expectations. Display accurate stock level information especially for sought-after goods. This includes communicating realistic estimates for delivery and even re-evaluating display ads so that consumers don’t feel misled by services you can’t provide.</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Foster comfort.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Leverage promos and loyalty programs. In times of crisis, consumers are not very price sensitive. However, making price discounts and promotions available, like free shipping, helps nurture goodwill. Increasing loyalty points and rewards programs encourages customers to stay long term.</w:t>
      </w:r>
    </w:p>
    <w:p w:rsidR="000A23A7" w:rsidRPr="00CC3945" w:rsidRDefault="000A23A7" w:rsidP="000A23A7">
      <w:pPr>
        <w:rPr>
          <w:sz w:val="24"/>
          <w:szCs w:val="24"/>
        </w:rPr>
      </w:pPr>
    </w:p>
    <w:p w:rsidR="000A23A7" w:rsidRPr="00CC3945" w:rsidRDefault="000A23A7" w:rsidP="000A23A7">
      <w:pPr>
        <w:rPr>
          <w:sz w:val="24"/>
          <w:szCs w:val="24"/>
        </w:rPr>
      </w:pPr>
      <w:r w:rsidRPr="00CC3945">
        <w:rPr>
          <w:sz w:val="24"/>
          <w:szCs w:val="24"/>
        </w:rPr>
        <w:t>Prioritize customer care.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0A23A7" w:rsidRPr="00CC3945" w:rsidRDefault="000A23A7" w:rsidP="000A23A7">
      <w:pPr>
        <w:rPr>
          <w:sz w:val="24"/>
          <w:szCs w:val="24"/>
        </w:rPr>
      </w:pPr>
      <w:r w:rsidRPr="00CC3945">
        <w:rPr>
          <w:sz w:val="24"/>
          <w:szCs w:val="24"/>
        </w:rPr>
        <w:t xml:space="preserve">It’s still too early to tell how much consumer </w:t>
      </w:r>
      <w:proofErr w:type="spellStart"/>
      <w:r w:rsidRPr="00CC3945">
        <w:rPr>
          <w:sz w:val="24"/>
          <w:szCs w:val="24"/>
        </w:rPr>
        <w:t>behavior</w:t>
      </w:r>
      <w:proofErr w:type="spellEnd"/>
      <w:r w:rsidRPr="00CC3945">
        <w:rPr>
          <w:sz w:val="24"/>
          <w:szCs w:val="24"/>
        </w:rPr>
        <w:t xml:space="preserve">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w:t>
      </w:r>
      <w:proofErr w:type="spellStart"/>
      <w:r w:rsidRPr="00CC3945">
        <w:rPr>
          <w:sz w:val="24"/>
          <w:szCs w:val="24"/>
        </w:rPr>
        <w:t>behavior</w:t>
      </w:r>
      <w:proofErr w:type="spellEnd"/>
      <w:r w:rsidRPr="00CC3945">
        <w:rPr>
          <w:sz w:val="24"/>
          <w:szCs w:val="24"/>
        </w:rPr>
        <w:t xml:space="preserve"> will be long term. In the meantime, retailers and D2C manufacturers should strive to maintain higher levels of e-commerce sales to mitigate the impact of store closures. Manufacturers that haven’t yet adopted a D2C approach must carefully follow how all this is </w:t>
      </w:r>
      <w:r w:rsidRPr="00CC3945">
        <w:rPr>
          <w:sz w:val="24"/>
          <w:szCs w:val="24"/>
        </w:rPr>
        <w:lastRenderedPageBreak/>
        <w:t>unfolding. They must decide now whether to jump in and create D2C channels to lessen the impact of the pandemic on their sales before it’s too late.</w:t>
      </w:r>
    </w:p>
    <w:p w:rsidR="000A23A7" w:rsidRPr="00CC3945" w:rsidRDefault="000A23A7" w:rsidP="000A23A7">
      <w:pPr>
        <w:rPr>
          <w:sz w:val="24"/>
          <w:szCs w:val="24"/>
        </w:rPr>
      </w:pPr>
    </w:p>
    <w:p w:rsidR="00811D8B" w:rsidRDefault="000A23A7">
      <w:pPr>
        <w:rPr>
          <w:sz w:val="24"/>
          <w:szCs w:val="24"/>
        </w:rPr>
      </w:pPr>
      <w:r w:rsidRPr="00CC3945">
        <w:rPr>
          <w:sz w:val="24"/>
          <w:szCs w:val="24"/>
        </w:rPr>
        <w:t xml:space="preserve">REFERENCE: </w:t>
      </w:r>
      <w:proofErr w:type="spellStart"/>
      <w:r w:rsidRPr="00CC3945">
        <w:rPr>
          <w:sz w:val="24"/>
          <w:szCs w:val="24"/>
        </w:rPr>
        <w:t>Consentserv</w:t>
      </w:r>
      <w:proofErr w:type="spellEnd"/>
      <w:r w:rsidRPr="00CC3945">
        <w:rPr>
          <w:sz w:val="24"/>
          <w:szCs w:val="24"/>
        </w:rPr>
        <w:t xml:space="preserve"> </w:t>
      </w:r>
      <w:proofErr w:type="spellStart"/>
      <w:r w:rsidRPr="00CC3945">
        <w:rPr>
          <w:sz w:val="24"/>
          <w:szCs w:val="24"/>
        </w:rPr>
        <w:t>futurise</w:t>
      </w:r>
      <w:proofErr w:type="spellEnd"/>
      <w:r w:rsidRPr="00CC3945">
        <w:rPr>
          <w:sz w:val="24"/>
          <w:szCs w:val="24"/>
        </w:rPr>
        <w:t xml:space="preserve"> experiences </w:t>
      </w:r>
    </w:p>
    <w:p w:rsidR="000A23A7" w:rsidRPr="00CC3945" w:rsidRDefault="000A23A7">
      <w:pPr>
        <w:rPr>
          <w:sz w:val="24"/>
          <w:szCs w:val="24"/>
        </w:rPr>
      </w:pPr>
      <w:bookmarkStart w:id="0" w:name="_GoBack"/>
      <w:bookmarkEnd w:id="0"/>
      <w:r w:rsidRPr="00CC3945">
        <w:rPr>
          <w:sz w:val="24"/>
          <w:szCs w:val="24"/>
        </w:rPr>
        <w:t>www.consentserv.com</w:t>
      </w:r>
    </w:p>
    <w:sectPr w:rsidR="000A23A7" w:rsidRPr="00CC3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A7"/>
    <w:rsid w:val="000A23A7"/>
    <w:rsid w:val="00811D8B"/>
    <w:rsid w:val="00CC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F5B37"/>
  <w15:chartTrackingRefBased/>
  <w15:docId w15:val="{08DC7EA1-5802-0349-ADC5-70ECD48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2348036398904</dc:creator>
  <cp:keywords/>
  <dc:description/>
  <cp:lastModifiedBy>2348036398904</cp:lastModifiedBy>
  <cp:revision>4</cp:revision>
  <dcterms:created xsi:type="dcterms:W3CDTF">2020-04-05T08:36:00Z</dcterms:created>
  <dcterms:modified xsi:type="dcterms:W3CDTF">2020-04-05T08:38:00Z</dcterms:modified>
</cp:coreProperties>
</file>