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b w:val="0"/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rFonts w:ascii="Times New Roman" w:eastAsia="Times New Roman" w:hAnsi="Times New Roman" w:cs="Times New Roman"/>
        </w:rPr>
        <w:t xml:space="preserve">NWABINELI DAISY CHINWOKE </w:t>
      </w:r>
    </w:p>
    <w:p>
      <w:pPr>
        <w:spacing w:lineRule="auto" w:line="259"/>
        <w:rPr>
          <w:b w:val="0"/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rFonts w:ascii="Times New Roman" w:eastAsia="Times New Roman" w:hAnsi="Times New Roman" w:cs="Times New Roman"/>
        </w:rPr>
        <w:t>18/mhs07/055</w:t>
      </w:r>
    </w:p>
    <w:p>
      <w:pPr>
        <w:spacing w:lineRule="auto" w:line="259"/>
        <w:rPr>
          <w:b w:val="0"/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b w:val="0"/>
          <w:color w:val="auto"/>
          <w:sz w:val="28"/>
          <w:szCs w:val="28"/>
          <w:rFonts w:ascii="Times New Roman" w:eastAsia="Times New Roman" w:hAnsi="Times New Roman" w:cs="Times New Roman"/>
        </w:rPr>
        <w:t xml:space="preserve">PHA 306 assignment</w:t>
      </w:r>
    </w:p>
    <w:p>
      <w:pPr>
        <w:spacing w:lineRule="auto" w:line="259"/>
        <w:rPr>
          <w:b w:val="0"/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  <w:t xml:space="preserve">Name of drug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Nitrofurantoin commonly sold under the brand Macrobid and Macrodantin. It is a unique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antibiotic, characterized by a hydantoin ring with a nitro-substituted furanyl side chain that is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metabolized within the bacteria to produce reactive compounds that are bactericidal.</w:t>
      </w:r>
    </w:p>
    <w:p>
      <w:pPr>
        <w:spacing w:lineRule="auto" w:line="259"/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  <w:t xml:space="preserve">Antibacterial activity 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Nitrofurantoin has been shown to have good activity against : E.coli, Staphylococcus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saprophyticus, Coagulase negative staphylococci, Enterococcus faecalis, Staphylococcus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aureus, Streptococcus agalactiae, Citrobacter species, Klebsiella species, Bacillus subtilis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>species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It is used in the treatment of infections caused by these organisms.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Nitrofurantoin is effective at treating uncomplicated urinary tract infections. It remains a first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-line agent. It does not work for viral infections. It reaches therapeutic concentrations in urine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after it has passed though renal excretion. Nitrofurantoin is most bactericidal in acidic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environments; the urine being a prominent example of this.</w:t>
      </w:r>
    </w:p>
    <w:p>
      <w:pPr>
        <w:spacing w:lineRule="auto" w:line="259"/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  <w:t xml:space="preserve">Mechanism of action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Nitrofurantoin works by damaging bacterial DNA. In bacterial cells, nitrofurantoin is reduced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by nitrofuran reductase; the resulting metabolite is highly reactive and attack ribosomal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proteins, DNA and pyruvate metabolism. It is not yet known which specific action is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responsible for its bactericidal activity. Nitrofurantoin is active against both Gram-positive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and Gram-negative causes of urinary tract infections – including E. coli and S. saprophticus,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some of the most common causes of UTIs.</w:t>
      </w:r>
    </w:p>
    <w:p>
      <w:pPr>
        <w:spacing w:lineRule="auto" w:line="259"/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  <w:t xml:space="preserve">Pharmacokinetics 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Nitrofurantoin is administered orally </w:t>
      </w:r>
    </w:p>
    <w:p>
      <w:pPr>
        <w:spacing w:lineRule="auto" w:line="259"/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 xml:space="preserve">Absorption 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Nitrofurantoin reaches a Cmax of 0.875-0.963mg/L with an AUC of 2.21-2.42mg*h/L. It is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38.8-44.3% bioavailable. Taking nitrofurantoin with food increases the absorption and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duration of therapeutic concentrations in the urine.</w:t>
      </w:r>
    </w:p>
    <w:p>
      <w:pPr>
        <w:spacing w:lineRule="auto" w:line="259"/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 xml:space="preserve">Protein binding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Nitrofurantoin could be up to 90% protein bound in plasma.</w:t>
      </w:r>
    </w:p>
    <w:p>
      <w:pPr>
        <w:spacing w:lineRule="auto" w:line="259"/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 xml:space="preserve">Metabolism 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0.8-1.8% of a dose is metabolized to aminofurantoin, and ≤0.9% of a dose is metabolized to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other metabolites.</w:t>
      </w:r>
    </w:p>
    <w:p>
      <w:pPr>
        <w:spacing w:lineRule="auto" w:line="259"/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 xml:space="preserve">Route of elimination 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27-50% of an oral dose is excreted in the urine as unchanged nitrofurantoin. 90% of the total </w:t>
      </w: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dose is eliminated in the urine.</w:t>
      </w:r>
    </w:p>
    <w:p>
      <w:pPr>
        <w:spacing w:lineRule="auto" w:line="259"/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4"/>
          <w:szCs w:val="24"/>
          <w:u w:val="single"/>
          <w:rFonts w:ascii="Times New Roman" w:eastAsia="Times New Roman" w:hAnsi="Times New Roman" w:cs="Times New Roman"/>
        </w:rPr>
        <w:t>Half-life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The half life of nitrofurantoin is 0.72-0.78h.</w:t>
      </w:r>
    </w:p>
    <w:p>
      <w:pPr>
        <w:spacing w:lineRule="auto" w:line="259"/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</w:pPr>
      <w:r>
        <w:rPr>
          <w:b w:val="1"/>
          <w:color w:val="auto"/>
          <w:sz w:val="28"/>
          <w:szCs w:val="28"/>
          <w:u w:val="single"/>
          <w:rFonts w:ascii="Times New Roman" w:eastAsia="Times New Roman" w:hAnsi="Times New Roman" w:cs="Times New Roman"/>
        </w:rPr>
        <w:t xml:space="preserve">Adverse effects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Gastrointestinal upset – nausea, diarrhea etc.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Immediate and delayed hypersensitivity reactions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Brown discoloration of urine (harmless)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Prolonged use of nitrofurantoin is likely to cause more serious effects: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Pulmonary toxicity – pneumonitis or fibrosis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Hepatotoxicity – detected in patients whose use exceeds 6 weeks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Neuropathy – a rare side effect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Other potential side effects include dizziness, drowsiness, pruritis and malaise.</w:t>
      </w: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0"/>
          <w:color w:val="auto"/>
          <w:sz w:val="24"/>
          <w:szCs w:val="24"/>
          <w:rFonts w:ascii="Times New Roman" w:eastAsia="Times New Roman" w:hAnsi="Times New Roman" w:cs="Times New Roman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376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 </dc:creator>
  <cp:lastModifiedBy>Polaris Office </cp:lastModifiedBy>
</cp:coreProperties>
</file>