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NWABINELI DAISY CHINWOKE 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>18/mhs07/055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PHA 312 assignment 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sz w:val="20"/>
        </w:rPr>
        <w:drawing>
          <wp:inline distT="0" distB="0" distL="0" distR="0">
            <wp:extent cx="2861945" cy="252412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97E254CD-9895-4897-B9E1-B6473E75211D/tmp/_d/fImage987571027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25247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sz w:val="20"/>
        </w:rPr>
        <w:drawing>
          <wp:inline distT="0" distB="0" distL="0" distR="0">
            <wp:extent cx="4055109" cy="405638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mobile/Containers/Data/Application/97E254CD-9895-4897-B9E1-B6473E75211D/tmp/_d/fImage306195129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745" cy="405701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</w:p>
    <w:p>
      <w:pPr>
        <w:spacing w:lineRule="auto" w:line="259"/>
        <w:rPr>
          <w:b w:val="1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1"/>
          <w:color w:val="auto"/>
          <w:sz w:val="24"/>
          <w:szCs w:val="24"/>
          <w:rFonts w:ascii="Times New Roman" w:eastAsia="Times New Roman" w:hAnsi="Times New Roman" w:cs="Times New Roman"/>
        </w:rPr>
        <w:t xml:space="preserve">LIFE CYCLE OF MALARIA PARASITE </w:t>
      </w:r>
    </w:p>
    <w:p>
      <w:pPr>
        <w:spacing w:lineRule="auto" w:line="259"/>
        <w:rPr>
          <w:b w:val="1"/>
          <w:color w:val="auto"/>
          <w:sz w:val="24"/>
          <w:szCs w:val="24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 Tissue amoebicides 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 Luminal amoebicides</w:t>
      </w:r>
    </w:p>
    <w:p>
      <w:pPr>
        <w:spacing w:lineRule="auto" w:line="259"/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</w:pPr>
      <w:r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t xml:space="preserve">Tissue amoebicides 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For intestinal and extra intestinal amoebiasis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Nitroimidazoles: Metronidazole, tinidazoke, secnidazole, ornidazole, 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Alkaloids: Emetine, dehydroemetine 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For external intestinal amoebiasis only: chloroquine </w:t>
      </w:r>
    </w:p>
    <w:p>
      <w:pPr>
        <w:spacing w:lineRule="auto" w:line="259"/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</w:pPr>
      <w:r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t xml:space="preserve">Luminal amoebicides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Amide: Diloxanide furoate, nitazoxanide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8-hydroxyquinolines: quiniodochlor (iodochlorohydroxyquin, clioquinol)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Antibiotics: tetracycline, paromomycin </w:t>
      </w:r>
    </w:p>
    <w:p>
      <w:pPr>
        <w:spacing w:lineRule="auto" w:line="259"/>
        <w:rPr>
          <w:b w:val="1"/>
          <w:color w:val="auto"/>
          <w:sz w:val="28"/>
          <w:szCs w:val="28"/>
          <w:u w:val="single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u w:val="single"/>
          <w:rFonts w:ascii="Times New Roman" w:eastAsia="Times New Roman" w:hAnsi="Times New Roman" w:cs="Times New Roman"/>
        </w:rPr>
        <w:t xml:space="preserve">Mechanism of action of metronidazole 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Metronidazole is a prodrug. It requires reductive activation of the nitro group but a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susceptible organism, it’s nitro group is reduced by certain redox proteins operative only in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anaerobic microorganisms to a highly reactive neuroradical which exerts cytotoxicity. It does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not affect aerobic bacteria, it is selectively toxic to anaerobic and microaerophilic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microorganisms. It enters the cell by diffusion. It contains electron transport components e,g, </w:t>
      </w: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ferridoxin and small Fe-S proteins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sz w:val="20"/>
        </w:rPr>
        <w:drawing>
          <wp:inline distT="0" distB="0" distL="0" distR="0">
            <wp:extent cx="5731510" cy="3027045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var/mobile/Containers/Data/Application/97E254CD-9895-4897-B9E1-B6473E75211D/tmp/_d/fImage9997513118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2768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98757102711.png"></Relationship><Relationship Id="rId6" Type="http://schemas.openxmlformats.org/officeDocument/2006/relationships/image" Target="media/fImage30619512910.png"></Relationship><Relationship Id="rId7" Type="http://schemas.openxmlformats.org/officeDocument/2006/relationships/image" Target="media/fImage99975131181.png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126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  </dc:creator>
  <cp:lastModifiedBy>Polaris Office  </cp:lastModifiedBy>
</cp:coreProperties>
</file>