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036" w:rsidRDefault="00643917">
      <w:pPr>
        <w:rPr>
          <w:rFonts w:ascii="Times New Roman" w:hAnsi="Times New Roman" w:cs="Times New Roman"/>
          <w:sz w:val="36"/>
          <w:szCs w:val="36"/>
        </w:rPr>
      </w:pPr>
      <w:r>
        <w:rPr>
          <w:rFonts w:ascii="Times New Roman" w:hAnsi="Times New Roman" w:cs="Times New Roman"/>
          <w:sz w:val="36"/>
          <w:szCs w:val="36"/>
        </w:rPr>
        <w:t>Questions:</w:t>
      </w:r>
    </w:p>
    <w:p w:rsidR="00643917" w:rsidRDefault="00643917" w:rsidP="0064391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State clearly the procedure from arraignment to imposition of sentence in a criminal trial in the high court. Comment on the remedy available to the accused after the imposition of sentence.</w:t>
      </w:r>
    </w:p>
    <w:p w:rsidR="00643917" w:rsidRDefault="00643917" w:rsidP="00643917">
      <w:pPr>
        <w:pStyle w:val="ListParagraph"/>
        <w:numPr>
          <w:ilvl w:val="0"/>
          <w:numId w:val="1"/>
        </w:numPr>
        <w:rPr>
          <w:rFonts w:ascii="Times New Roman" w:hAnsi="Times New Roman" w:cs="Times New Roman"/>
          <w:sz w:val="36"/>
          <w:szCs w:val="36"/>
        </w:rPr>
      </w:pPr>
      <w:r>
        <w:rPr>
          <w:rFonts w:ascii="Times New Roman" w:hAnsi="Times New Roman" w:cs="Times New Roman"/>
          <w:sz w:val="36"/>
          <w:szCs w:val="36"/>
        </w:rPr>
        <w:t>Comment on the various methods by which civil proceedings may be commenced in the high court.</w:t>
      </w:r>
    </w:p>
    <w:p w:rsidR="00D85F2D" w:rsidRDefault="00D85F2D" w:rsidP="00D85F2D">
      <w:pPr>
        <w:pStyle w:val="ListParagraph"/>
        <w:rPr>
          <w:rFonts w:ascii="Times New Roman" w:hAnsi="Times New Roman" w:cs="Times New Roman"/>
          <w:sz w:val="36"/>
          <w:szCs w:val="36"/>
        </w:rPr>
      </w:pPr>
    </w:p>
    <w:p w:rsidR="00D85F2D" w:rsidRDefault="00D85F2D" w:rsidP="00D85F2D">
      <w:pPr>
        <w:pStyle w:val="ListParagraph"/>
        <w:rPr>
          <w:rFonts w:ascii="Times New Roman" w:hAnsi="Times New Roman" w:cs="Times New Roman"/>
          <w:sz w:val="36"/>
          <w:szCs w:val="36"/>
        </w:rPr>
      </w:pPr>
    </w:p>
    <w:p w:rsidR="00D85F2D" w:rsidRDefault="00D85F2D" w:rsidP="00D85F2D">
      <w:pPr>
        <w:pStyle w:val="ListParagraph"/>
        <w:rPr>
          <w:rFonts w:ascii="Times New Roman" w:hAnsi="Times New Roman" w:cs="Times New Roman"/>
          <w:sz w:val="36"/>
          <w:szCs w:val="36"/>
        </w:rPr>
      </w:pPr>
    </w:p>
    <w:p w:rsidR="00D85F2D" w:rsidRDefault="00D85F2D" w:rsidP="00D85F2D">
      <w:pPr>
        <w:pStyle w:val="ListParagraph"/>
        <w:rPr>
          <w:rFonts w:ascii="Times New Roman" w:hAnsi="Times New Roman" w:cs="Times New Roman"/>
          <w:sz w:val="36"/>
          <w:szCs w:val="36"/>
        </w:rPr>
      </w:pPr>
    </w:p>
    <w:p w:rsidR="00D85F2D" w:rsidRDefault="00D85F2D" w:rsidP="00D85F2D">
      <w:pPr>
        <w:pStyle w:val="ListParagraph"/>
        <w:rPr>
          <w:rFonts w:ascii="Times New Roman" w:hAnsi="Times New Roman" w:cs="Times New Roman"/>
          <w:sz w:val="36"/>
          <w:szCs w:val="36"/>
        </w:rPr>
      </w:pPr>
    </w:p>
    <w:p w:rsidR="00D63EC0" w:rsidRDefault="00D63EC0" w:rsidP="00D63EC0">
      <w:pPr>
        <w:pStyle w:val="ListParagraph"/>
        <w:rPr>
          <w:rFonts w:ascii="Times New Roman" w:hAnsi="Times New Roman" w:cs="Times New Roman"/>
          <w:sz w:val="36"/>
          <w:szCs w:val="36"/>
        </w:rPr>
      </w:pPr>
    </w:p>
    <w:p w:rsidR="00D63EC0" w:rsidRDefault="00D63EC0" w:rsidP="00D63EC0">
      <w:pPr>
        <w:pStyle w:val="ListParagraph"/>
        <w:rPr>
          <w:rFonts w:ascii="Times New Roman" w:hAnsi="Times New Roman" w:cs="Times New Roman"/>
          <w:sz w:val="36"/>
          <w:szCs w:val="36"/>
        </w:rPr>
      </w:pPr>
    </w:p>
    <w:p w:rsidR="00D63EC0" w:rsidRDefault="00D63EC0" w:rsidP="00D63EC0">
      <w:pPr>
        <w:pStyle w:val="ListParagraph"/>
        <w:rPr>
          <w:rFonts w:ascii="Times New Roman" w:hAnsi="Times New Roman" w:cs="Times New Roman"/>
          <w:sz w:val="36"/>
          <w:szCs w:val="36"/>
        </w:rPr>
      </w:pPr>
    </w:p>
    <w:p w:rsidR="00D63EC0" w:rsidRDefault="00D63EC0" w:rsidP="00D63EC0">
      <w:pPr>
        <w:pStyle w:val="ListParagraph"/>
        <w:rPr>
          <w:rFonts w:ascii="Times New Roman" w:hAnsi="Times New Roman" w:cs="Times New Roman"/>
          <w:sz w:val="36"/>
          <w:szCs w:val="36"/>
        </w:rPr>
      </w:pPr>
    </w:p>
    <w:p w:rsidR="00D63EC0" w:rsidRDefault="00D63EC0" w:rsidP="00D63EC0">
      <w:pPr>
        <w:pStyle w:val="ListParagraph"/>
        <w:rPr>
          <w:rFonts w:ascii="Times New Roman" w:hAnsi="Times New Roman" w:cs="Times New Roman"/>
          <w:sz w:val="36"/>
          <w:szCs w:val="36"/>
        </w:rPr>
      </w:pPr>
    </w:p>
    <w:p w:rsidR="00D63EC0" w:rsidRDefault="00D63EC0" w:rsidP="00D63EC0">
      <w:pPr>
        <w:pStyle w:val="ListParagraph"/>
        <w:rPr>
          <w:rFonts w:ascii="Times New Roman" w:hAnsi="Times New Roman" w:cs="Times New Roman"/>
          <w:sz w:val="36"/>
          <w:szCs w:val="36"/>
        </w:rPr>
      </w:pPr>
    </w:p>
    <w:p w:rsidR="00D63EC0" w:rsidRDefault="00D63EC0" w:rsidP="00D63EC0">
      <w:pPr>
        <w:pStyle w:val="ListParagraph"/>
        <w:rPr>
          <w:rFonts w:ascii="Times New Roman" w:hAnsi="Times New Roman" w:cs="Times New Roman"/>
          <w:sz w:val="36"/>
          <w:szCs w:val="36"/>
        </w:rPr>
      </w:pPr>
    </w:p>
    <w:p w:rsidR="00D63EC0" w:rsidRDefault="00D63EC0" w:rsidP="00D63EC0">
      <w:pPr>
        <w:pStyle w:val="ListParagraph"/>
        <w:rPr>
          <w:rFonts w:ascii="Times New Roman" w:hAnsi="Times New Roman" w:cs="Times New Roman"/>
          <w:sz w:val="36"/>
          <w:szCs w:val="36"/>
        </w:rPr>
      </w:pPr>
    </w:p>
    <w:p w:rsidR="00D63EC0" w:rsidRDefault="00D63EC0" w:rsidP="00D63EC0">
      <w:pPr>
        <w:pStyle w:val="ListParagraph"/>
        <w:rPr>
          <w:rFonts w:ascii="Times New Roman" w:hAnsi="Times New Roman" w:cs="Times New Roman"/>
          <w:sz w:val="36"/>
          <w:szCs w:val="36"/>
        </w:rPr>
      </w:pPr>
    </w:p>
    <w:p w:rsidR="00D63EC0" w:rsidRDefault="00D63EC0" w:rsidP="00D63EC0">
      <w:pPr>
        <w:pStyle w:val="ListParagraph"/>
        <w:jc w:val="right"/>
        <w:rPr>
          <w:rFonts w:ascii="Times New Roman" w:hAnsi="Times New Roman" w:cs="Times New Roman"/>
          <w:sz w:val="36"/>
          <w:szCs w:val="36"/>
        </w:rPr>
      </w:pPr>
    </w:p>
    <w:p w:rsidR="00D63EC0" w:rsidRDefault="00D63EC0" w:rsidP="00D63EC0">
      <w:pPr>
        <w:pStyle w:val="ListParagraph"/>
        <w:jc w:val="right"/>
        <w:rPr>
          <w:rFonts w:ascii="Times New Roman" w:hAnsi="Times New Roman" w:cs="Times New Roman"/>
          <w:sz w:val="36"/>
          <w:szCs w:val="36"/>
        </w:rPr>
      </w:pPr>
    </w:p>
    <w:p w:rsidR="00D63EC0" w:rsidRDefault="00D63EC0" w:rsidP="00D63EC0">
      <w:pPr>
        <w:pStyle w:val="ListParagraph"/>
        <w:jc w:val="right"/>
        <w:rPr>
          <w:rFonts w:ascii="Times New Roman" w:hAnsi="Times New Roman" w:cs="Times New Roman"/>
          <w:sz w:val="36"/>
          <w:szCs w:val="36"/>
        </w:rPr>
      </w:pPr>
    </w:p>
    <w:p w:rsidR="00D63EC0" w:rsidRPr="00D85F2D" w:rsidRDefault="00D63EC0" w:rsidP="00D85F2D">
      <w:pPr>
        <w:jc w:val="right"/>
        <w:rPr>
          <w:rFonts w:ascii="Times New Roman" w:hAnsi="Times New Roman" w:cs="Times New Roman"/>
          <w:sz w:val="36"/>
          <w:szCs w:val="36"/>
        </w:rPr>
      </w:pPr>
      <w:r w:rsidRPr="00D85F2D">
        <w:rPr>
          <w:rFonts w:ascii="Times New Roman" w:hAnsi="Times New Roman" w:cs="Times New Roman"/>
          <w:sz w:val="36"/>
          <w:szCs w:val="36"/>
        </w:rPr>
        <w:t>BAYODE OLUWATOMI ANNE</w:t>
      </w:r>
    </w:p>
    <w:p w:rsidR="00D85F2D" w:rsidRPr="004733C7" w:rsidRDefault="00D63EC0" w:rsidP="004733C7">
      <w:pPr>
        <w:pStyle w:val="ListParagraph"/>
        <w:jc w:val="right"/>
        <w:rPr>
          <w:rFonts w:ascii="Times New Roman" w:hAnsi="Times New Roman" w:cs="Times New Roman"/>
          <w:sz w:val="36"/>
          <w:szCs w:val="36"/>
        </w:rPr>
      </w:pPr>
      <w:r>
        <w:rPr>
          <w:rFonts w:ascii="Times New Roman" w:hAnsi="Times New Roman" w:cs="Times New Roman"/>
          <w:sz w:val="36"/>
          <w:szCs w:val="36"/>
        </w:rPr>
        <w:t>18/LAW01/054</w:t>
      </w:r>
    </w:p>
    <w:p w:rsidR="004733C7" w:rsidRPr="00227C5C" w:rsidRDefault="00282C95" w:rsidP="00227C5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27C5C">
        <w:rPr>
          <w:rFonts w:ascii="Times New Roman" w:hAnsi="Times New Roman" w:cs="Times New Roman"/>
          <w:sz w:val="24"/>
          <w:szCs w:val="24"/>
        </w:rPr>
        <w:t xml:space="preserve">  </w:t>
      </w:r>
      <w:r w:rsidR="00D85F2D" w:rsidRPr="00227C5C">
        <w:rPr>
          <w:rFonts w:ascii="Times New Roman" w:hAnsi="Times New Roman" w:cs="Times New Roman"/>
          <w:sz w:val="24"/>
          <w:szCs w:val="24"/>
        </w:rPr>
        <w:t xml:space="preserve">Criminal procedure is the method of commencing criminal proceedings. It is the process of commencing, conducting and concluding a criminal case to be prosecuted in court. Criminal procedure is also the process of administration of criminal justice in Nigeria where the body of laws and rules are used. Such laws include: the Criminal Procedure Act, Criminal Procedure Code, Criminal Code, Penal Code, the Constitution, Magistrate Court Laws, High Court Laws, Police Act, etc. However, this work basically examines the criminal </w:t>
      </w:r>
      <w:r w:rsidR="004733C7" w:rsidRPr="00227C5C">
        <w:rPr>
          <w:rFonts w:ascii="Times New Roman" w:hAnsi="Times New Roman" w:cs="Times New Roman"/>
          <w:sz w:val="24"/>
          <w:szCs w:val="24"/>
        </w:rPr>
        <w:t>trial in the High court from arraignment to sentence of an accused person. This procedure plays from arraignment to trial and then conviction before allocutus and sentencing.</w:t>
      </w:r>
    </w:p>
    <w:p w:rsidR="00144E8A" w:rsidRPr="00227C5C" w:rsidRDefault="004733C7" w:rsidP="00227C5C">
      <w:pPr>
        <w:pStyle w:val="ListParagraph"/>
        <w:numPr>
          <w:ilvl w:val="0"/>
          <w:numId w:val="4"/>
        </w:numPr>
        <w:rPr>
          <w:rFonts w:ascii="Times New Roman" w:hAnsi="Times New Roman" w:cs="Times New Roman"/>
          <w:color w:val="FF0000"/>
          <w:sz w:val="24"/>
          <w:szCs w:val="24"/>
        </w:rPr>
      </w:pPr>
      <w:r w:rsidRPr="00227C5C">
        <w:rPr>
          <w:rFonts w:ascii="Times New Roman" w:hAnsi="Times New Roman" w:cs="Times New Roman"/>
          <w:sz w:val="24"/>
          <w:szCs w:val="24"/>
          <w:u w:val="single"/>
        </w:rPr>
        <w:t>Arraignment</w:t>
      </w:r>
      <w:r w:rsidRPr="00227C5C">
        <w:rPr>
          <w:rFonts w:ascii="Times New Roman" w:hAnsi="Times New Roman" w:cs="Times New Roman"/>
          <w:sz w:val="24"/>
          <w:szCs w:val="24"/>
        </w:rPr>
        <w:t xml:space="preserve">: This here is the beginning of a criminal proceeding in a court of law. During this procedure, an accused person is brought to the court </w:t>
      </w:r>
      <w:r w:rsidR="009D0D6C" w:rsidRPr="00227C5C">
        <w:rPr>
          <w:rFonts w:ascii="Times New Roman" w:hAnsi="Times New Roman" w:cs="Times New Roman"/>
          <w:sz w:val="24"/>
          <w:szCs w:val="24"/>
        </w:rPr>
        <w:t xml:space="preserve">and placed in dock unfettered. The charges against such accused are then read by the registrar of the court in the language the accused understands. After, the accused instantly takes his plea. However, pleas available to an accused vary depending on the case at hand and the stand of the accused on such case. Such plea could be plea of guilty, plea of not guilty, plea of guilty for a leaser offer, etc. All these being said, it is important to note that when an accused person pleas’ not guilty, he/she puts him/herself into trial. The doctrine of arraignment is vividly and unambiguously </w:t>
      </w:r>
      <w:r w:rsidR="00144E8A" w:rsidRPr="00227C5C">
        <w:rPr>
          <w:rFonts w:ascii="Times New Roman" w:hAnsi="Times New Roman" w:cs="Times New Roman"/>
          <w:sz w:val="24"/>
          <w:szCs w:val="24"/>
        </w:rPr>
        <w:t xml:space="preserve">expressed in </w:t>
      </w:r>
      <w:r w:rsidR="00144E8A" w:rsidRPr="00227C5C">
        <w:rPr>
          <w:rFonts w:ascii="Times New Roman" w:hAnsi="Times New Roman" w:cs="Times New Roman"/>
          <w:color w:val="FF0000"/>
          <w:sz w:val="24"/>
          <w:szCs w:val="24"/>
        </w:rPr>
        <w:t>section 36(4)-(5) of the 1999 Constitution of the Federal Republic of Nigeria, as amended 2011</w:t>
      </w:r>
      <w:r w:rsidR="00800B58" w:rsidRPr="00227C5C">
        <w:rPr>
          <w:rFonts w:ascii="Times New Roman" w:hAnsi="Times New Roman" w:cs="Times New Roman"/>
          <w:color w:val="FF0000"/>
          <w:sz w:val="24"/>
          <w:szCs w:val="24"/>
        </w:rPr>
        <w:t xml:space="preserve"> herein after referred to as CFRN</w:t>
      </w:r>
      <w:r w:rsidR="00144E8A" w:rsidRPr="00227C5C">
        <w:rPr>
          <w:rFonts w:ascii="Times New Roman" w:hAnsi="Times New Roman" w:cs="Times New Roman"/>
          <w:color w:val="FF0000"/>
          <w:sz w:val="24"/>
          <w:szCs w:val="24"/>
        </w:rPr>
        <w:t>.</w:t>
      </w:r>
    </w:p>
    <w:p w:rsidR="00D85F2D" w:rsidRPr="00227C5C" w:rsidRDefault="009D0D6C" w:rsidP="00227C5C">
      <w:pPr>
        <w:pStyle w:val="ListParagraph"/>
        <w:numPr>
          <w:ilvl w:val="0"/>
          <w:numId w:val="4"/>
        </w:numPr>
        <w:rPr>
          <w:rFonts w:ascii="Times New Roman" w:hAnsi="Times New Roman" w:cs="Times New Roman"/>
          <w:sz w:val="24"/>
          <w:szCs w:val="24"/>
        </w:rPr>
      </w:pPr>
      <w:r w:rsidRPr="00227C5C">
        <w:rPr>
          <w:rFonts w:ascii="Times New Roman" w:hAnsi="Times New Roman" w:cs="Times New Roman"/>
          <w:sz w:val="24"/>
          <w:szCs w:val="24"/>
        </w:rPr>
        <w:t xml:space="preserve"> </w:t>
      </w:r>
      <w:r w:rsidR="00144E8A" w:rsidRPr="00227C5C">
        <w:rPr>
          <w:rFonts w:ascii="Times New Roman" w:hAnsi="Times New Roman" w:cs="Times New Roman"/>
          <w:sz w:val="24"/>
          <w:szCs w:val="24"/>
          <w:u w:val="single"/>
        </w:rPr>
        <w:t>Trial</w:t>
      </w:r>
      <w:r w:rsidR="00C21559" w:rsidRPr="00227C5C">
        <w:rPr>
          <w:rFonts w:ascii="Times New Roman" w:hAnsi="Times New Roman" w:cs="Times New Roman"/>
          <w:sz w:val="24"/>
          <w:szCs w:val="24"/>
        </w:rPr>
        <w:t>: T</w:t>
      </w:r>
      <w:r w:rsidR="00144E8A" w:rsidRPr="00227C5C">
        <w:rPr>
          <w:rFonts w:ascii="Times New Roman" w:hAnsi="Times New Roman" w:cs="Times New Roman"/>
          <w:sz w:val="24"/>
          <w:szCs w:val="24"/>
        </w:rPr>
        <w:t xml:space="preserve">his process summarizes the power given to evidence by witnesses called in other to prove prosecutor’s case or prove the accused person’s defence as upheld by </w:t>
      </w:r>
      <w:r w:rsidR="00144E8A" w:rsidRPr="00227C5C">
        <w:rPr>
          <w:rFonts w:ascii="Times New Roman" w:hAnsi="Times New Roman" w:cs="Times New Roman"/>
          <w:color w:val="FF0000"/>
          <w:sz w:val="24"/>
          <w:szCs w:val="24"/>
        </w:rPr>
        <w:t>section 36(6) (b) of the CFRN</w:t>
      </w:r>
      <w:r w:rsidR="00144E8A" w:rsidRPr="00227C5C">
        <w:rPr>
          <w:rFonts w:ascii="Times New Roman" w:hAnsi="Times New Roman" w:cs="Times New Roman"/>
          <w:sz w:val="24"/>
          <w:szCs w:val="24"/>
        </w:rPr>
        <w:t>. Hence, examination</w:t>
      </w:r>
      <w:r w:rsidR="00800B58" w:rsidRPr="00227C5C">
        <w:rPr>
          <w:rFonts w:ascii="Times New Roman" w:hAnsi="Times New Roman" w:cs="Times New Roman"/>
          <w:sz w:val="24"/>
          <w:szCs w:val="24"/>
        </w:rPr>
        <w:t xml:space="preserve">, cross-examination and re-examination either in person or by a legal practitioner of the witnesses called by the prosecution before any court or tribunal. </w:t>
      </w:r>
      <w:r w:rsidR="00800B58" w:rsidRPr="00227C5C">
        <w:rPr>
          <w:rFonts w:ascii="Times New Roman" w:hAnsi="Times New Roman" w:cs="Times New Roman"/>
          <w:color w:val="FF0000"/>
          <w:sz w:val="24"/>
          <w:szCs w:val="24"/>
        </w:rPr>
        <w:t>Section 36(6) (d)</w:t>
      </w:r>
      <w:r w:rsidR="00144E8A" w:rsidRPr="00227C5C">
        <w:rPr>
          <w:rFonts w:ascii="Times New Roman" w:hAnsi="Times New Roman" w:cs="Times New Roman"/>
          <w:color w:val="FF0000"/>
          <w:sz w:val="24"/>
          <w:szCs w:val="24"/>
        </w:rPr>
        <w:t xml:space="preserve"> </w:t>
      </w:r>
      <w:r w:rsidR="00800B58" w:rsidRPr="00227C5C">
        <w:rPr>
          <w:rFonts w:ascii="Times New Roman" w:hAnsi="Times New Roman" w:cs="Times New Roman"/>
          <w:color w:val="FF0000"/>
          <w:sz w:val="24"/>
          <w:szCs w:val="24"/>
        </w:rPr>
        <w:t>of the CFRN and section 214 of the Evidence Act</w:t>
      </w:r>
      <w:r w:rsidR="00800B58" w:rsidRPr="00227C5C">
        <w:rPr>
          <w:rFonts w:ascii="Times New Roman" w:hAnsi="Times New Roman" w:cs="Times New Roman"/>
          <w:sz w:val="24"/>
          <w:szCs w:val="24"/>
        </w:rPr>
        <w:t xml:space="preserve"> express this fact unarguably.</w:t>
      </w:r>
    </w:p>
    <w:p w:rsidR="00333EC4" w:rsidRPr="00227C5C" w:rsidRDefault="00800B58" w:rsidP="00227C5C">
      <w:pPr>
        <w:pStyle w:val="ListParagraph"/>
        <w:numPr>
          <w:ilvl w:val="0"/>
          <w:numId w:val="4"/>
        </w:numPr>
        <w:rPr>
          <w:rFonts w:ascii="Times New Roman" w:hAnsi="Times New Roman" w:cs="Times New Roman"/>
          <w:sz w:val="24"/>
          <w:szCs w:val="24"/>
        </w:rPr>
      </w:pPr>
      <w:r w:rsidRPr="00227C5C">
        <w:rPr>
          <w:rFonts w:ascii="Times New Roman" w:hAnsi="Times New Roman" w:cs="Times New Roman"/>
          <w:sz w:val="24"/>
          <w:szCs w:val="24"/>
          <w:u w:val="single"/>
        </w:rPr>
        <w:t>Conviction</w:t>
      </w:r>
      <w:r w:rsidRPr="00227C5C">
        <w:rPr>
          <w:rFonts w:ascii="Times New Roman" w:hAnsi="Times New Roman" w:cs="Times New Roman"/>
          <w:sz w:val="24"/>
          <w:szCs w:val="24"/>
        </w:rPr>
        <w:t>:</w:t>
      </w:r>
      <w:r w:rsidR="00C21559" w:rsidRPr="00227C5C">
        <w:rPr>
          <w:rFonts w:ascii="Times New Roman" w:hAnsi="Times New Roman" w:cs="Times New Roman"/>
          <w:sz w:val="24"/>
          <w:szCs w:val="24"/>
        </w:rPr>
        <w:t xml:space="preserve"> During this process, findings are being made to determine if truly the</w:t>
      </w:r>
      <w:r w:rsidR="00333EC4" w:rsidRPr="00227C5C">
        <w:rPr>
          <w:rFonts w:ascii="Times New Roman" w:hAnsi="Times New Roman" w:cs="Times New Roman"/>
          <w:sz w:val="24"/>
          <w:szCs w:val="24"/>
        </w:rPr>
        <w:t xml:space="preserve"> accused person is guilty. The conviction statement goes thus: </w:t>
      </w:r>
    </w:p>
    <w:p w:rsidR="00800B58" w:rsidRPr="00227C5C" w:rsidRDefault="00333EC4" w:rsidP="00227C5C">
      <w:pPr>
        <w:pStyle w:val="ListParagraph"/>
        <w:ind w:left="1861"/>
        <w:rPr>
          <w:rFonts w:ascii="Times New Roman" w:hAnsi="Times New Roman" w:cs="Times New Roman"/>
          <w:i/>
          <w:sz w:val="24"/>
          <w:szCs w:val="24"/>
        </w:rPr>
      </w:pPr>
      <w:r w:rsidRPr="00227C5C">
        <w:rPr>
          <w:rFonts w:ascii="Times New Roman" w:hAnsi="Times New Roman" w:cs="Times New Roman"/>
          <w:i/>
          <w:sz w:val="24"/>
          <w:szCs w:val="24"/>
        </w:rPr>
        <w:t>“I hereby find you guilty of ……”</w:t>
      </w:r>
    </w:p>
    <w:p w:rsidR="007A5262" w:rsidRPr="00227C5C" w:rsidRDefault="00333EC4" w:rsidP="00227C5C">
      <w:pPr>
        <w:pStyle w:val="ListParagraph"/>
        <w:numPr>
          <w:ilvl w:val="0"/>
          <w:numId w:val="4"/>
        </w:numPr>
        <w:rPr>
          <w:rFonts w:ascii="Times New Roman" w:hAnsi="Times New Roman" w:cs="Times New Roman"/>
          <w:sz w:val="24"/>
          <w:szCs w:val="24"/>
        </w:rPr>
      </w:pPr>
      <w:r w:rsidRPr="00227C5C">
        <w:rPr>
          <w:rFonts w:ascii="Times New Roman" w:hAnsi="Times New Roman" w:cs="Times New Roman"/>
          <w:sz w:val="24"/>
          <w:szCs w:val="24"/>
          <w:u w:val="single"/>
        </w:rPr>
        <w:t xml:space="preserve">Allocutus: </w:t>
      </w:r>
      <w:r w:rsidRPr="00227C5C">
        <w:rPr>
          <w:rFonts w:ascii="Times New Roman" w:hAnsi="Times New Roman" w:cs="Times New Roman"/>
          <w:sz w:val="24"/>
          <w:szCs w:val="24"/>
        </w:rPr>
        <w:t xml:space="preserve">This is a plea for the alleviation of punishment on the accused being found guilty. That is, after an accused has been found guilty of an offence he or the legal practitioner make a plea to reduce or totally alleviate such punishment meted out. However, such plea is of no value when an accused has been found guilty of a capital offence requiring mandatory punishment. </w:t>
      </w:r>
    </w:p>
    <w:p w:rsidR="00282C95" w:rsidRPr="00227C5C" w:rsidRDefault="00333EC4" w:rsidP="00227C5C">
      <w:pPr>
        <w:pStyle w:val="ListParagraph"/>
        <w:numPr>
          <w:ilvl w:val="0"/>
          <w:numId w:val="4"/>
        </w:numPr>
        <w:rPr>
          <w:rFonts w:ascii="Times New Roman" w:hAnsi="Times New Roman" w:cs="Times New Roman"/>
          <w:sz w:val="24"/>
          <w:szCs w:val="24"/>
        </w:rPr>
      </w:pPr>
      <w:r w:rsidRPr="00227C5C">
        <w:rPr>
          <w:rFonts w:ascii="Times New Roman" w:hAnsi="Times New Roman" w:cs="Times New Roman"/>
          <w:sz w:val="24"/>
          <w:szCs w:val="24"/>
          <w:u w:val="single"/>
        </w:rPr>
        <w:t>Sentencing</w:t>
      </w:r>
      <w:r w:rsidRPr="00227C5C">
        <w:rPr>
          <w:rFonts w:ascii="Times New Roman" w:hAnsi="Times New Roman" w:cs="Times New Roman"/>
          <w:sz w:val="24"/>
          <w:szCs w:val="24"/>
        </w:rPr>
        <w:t xml:space="preserve">: </w:t>
      </w:r>
      <w:r w:rsidR="00297AB6" w:rsidRPr="00227C5C">
        <w:rPr>
          <w:rFonts w:ascii="Times New Roman" w:hAnsi="Times New Roman" w:cs="Times New Roman"/>
          <w:sz w:val="24"/>
          <w:szCs w:val="24"/>
        </w:rPr>
        <w:t>This is the pronouncement of the punishment on the accused person when found guilty. There are three</w:t>
      </w:r>
      <w:r w:rsidR="007A5262" w:rsidRPr="00227C5C">
        <w:rPr>
          <w:rFonts w:ascii="Times New Roman" w:hAnsi="Times New Roman" w:cs="Times New Roman"/>
          <w:sz w:val="24"/>
          <w:szCs w:val="24"/>
        </w:rPr>
        <w:t xml:space="preserve"> </w:t>
      </w:r>
      <w:r w:rsidR="00297AB6" w:rsidRPr="00227C5C">
        <w:rPr>
          <w:rFonts w:ascii="Times New Roman" w:hAnsi="Times New Roman" w:cs="Times New Roman"/>
          <w:sz w:val="24"/>
          <w:szCs w:val="24"/>
        </w:rPr>
        <w:t>(3) types of sentence, they include: mandatory sentence, maximum sentence and minimum sentence. Such sentences flow from a range of imprisonment, death, fines, canning, penalty, Haddi lashing and so on.</w:t>
      </w:r>
    </w:p>
    <w:p w:rsidR="0075460D" w:rsidRPr="00227C5C" w:rsidRDefault="00282C95" w:rsidP="00227C5C">
      <w:pPr>
        <w:rPr>
          <w:rFonts w:ascii="Times New Roman" w:hAnsi="Times New Roman" w:cs="Times New Roman"/>
          <w:sz w:val="24"/>
          <w:szCs w:val="24"/>
        </w:rPr>
      </w:pPr>
      <w:r w:rsidRPr="00227C5C">
        <w:rPr>
          <w:sz w:val="24"/>
          <w:szCs w:val="24"/>
        </w:rPr>
        <w:t xml:space="preserve">      </w:t>
      </w:r>
      <w:r w:rsidRPr="00227C5C">
        <w:rPr>
          <w:rFonts w:ascii="Times New Roman" w:hAnsi="Times New Roman" w:cs="Times New Roman"/>
          <w:sz w:val="24"/>
          <w:szCs w:val="24"/>
        </w:rPr>
        <w:t xml:space="preserve">  </w:t>
      </w:r>
      <w:r w:rsidR="00227C5C">
        <w:rPr>
          <w:rFonts w:ascii="Times New Roman" w:hAnsi="Times New Roman" w:cs="Times New Roman"/>
          <w:sz w:val="24"/>
          <w:szCs w:val="24"/>
        </w:rPr>
        <w:t xml:space="preserve">         </w:t>
      </w:r>
      <w:r w:rsidR="00297AB6" w:rsidRPr="00227C5C">
        <w:rPr>
          <w:rFonts w:ascii="Times New Roman" w:hAnsi="Times New Roman" w:cs="Times New Roman"/>
          <w:sz w:val="24"/>
          <w:szCs w:val="24"/>
        </w:rPr>
        <w:t xml:space="preserve">All of these procedures are what are being done in carrying out criminal trial on an </w:t>
      </w:r>
      <w:r w:rsidR="00227C5C">
        <w:rPr>
          <w:rFonts w:ascii="Times New Roman" w:hAnsi="Times New Roman" w:cs="Times New Roman"/>
          <w:sz w:val="24"/>
          <w:szCs w:val="24"/>
        </w:rPr>
        <w:t xml:space="preserve">                      </w:t>
      </w:r>
      <w:r w:rsidR="00297AB6" w:rsidRPr="00227C5C">
        <w:rPr>
          <w:rFonts w:ascii="Times New Roman" w:hAnsi="Times New Roman" w:cs="Times New Roman"/>
          <w:sz w:val="24"/>
          <w:szCs w:val="24"/>
        </w:rPr>
        <w:t>accused person. However, there are also remedies to either partially or totally alleviate such imposed sentences. An accused has at his disposal the choice to appeal</w:t>
      </w:r>
      <w:r w:rsidR="005041B6" w:rsidRPr="00227C5C">
        <w:rPr>
          <w:rFonts w:ascii="Times New Roman" w:hAnsi="Times New Roman" w:cs="Times New Roman"/>
          <w:sz w:val="24"/>
          <w:szCs w:val="24"/>
        </w:rPr>
        <w:t xml:space="preserve"> to</w:t>
      </w:r>
      <w:r w:rsidR="00297AB6" w:rsidRPr="00227C5C">
        <w:rPr>
          <w:rFonts w:ascii="Times New Roman" w:hAnsi="Times New Roman" w:cs="Times New Roman"/>
          <w:sz w:val="24"/>
          <w:szCs w:val="24"/>
        </w:rPr>
        <w:t xml:space="preserve"> </w:t>
      </w:r>
      <w:r w:rsidR="005041B6" w:rsidRPr="00227C5C">
        <w:rPr>
          <w:rFonts w:ascii="Times New Roman" w:hAnsi="Times New Roman" w:cs="Times New Roman"/>
          <w:sz w:val="24"/>
          <w:szCs w:val="24"/>
        </w:rPr>
        <w:t>remedy</w:t>
      </w:r>
      <w:r w:rsidR="00297AB6" w:rsidRPr="00227C5C">
        <w:rPr>
          <w:rFonts w:ascii="Times New Roman" w:hAnsi="Times New Roman" w:cs="Times New Roman"/>
          <w:sz w:val="24"/>
          <w:szCs w:val="24"/>
        </w:rPr>
        <w:t xml:space="preserve"> his conviction</w:t>
      </w:r>
      <w:r w:rsidR="005041B6" w:rsidRPr="00227C5C">
        <w:rPr>
          <w:rFonts w:ascii="Times New Roman" w:hAnsi="Times New Roman" w:cs="Times New Roman"/>
          <w:sz w:val="24"/>
          <w:szCs w:val="24"/>
        </w:rPr>
        <w:t xml:space="preserve">. Here, an accused person would invite a higher court to review the decision of the lower court over his case to find out whether on the proper consideration of the facts placed before it and the applicable that the court arrived at a valid decision. Such appeal is a rehearing and not a retrial as being stated </w:t>
      </w:r>
      <w:r w:rsidR="00106C4A" w:rsidRPr="00227C5C">
        <w:rPr>
          <w:rFonts w:ascii="Times New Roman" w:hAnsi="Times New Roman" w:cs="Times New Roman"/>
          <w:sz w:val="24"/>
          <w:szCs w:val="24"/>
        </w:rPr>
        <w:t xml:space="preserve">in the case of </w:t>
      </w:r>
      <w:r w:rsidR="00106C4A" w:rsidRPr="00227C5C">
        <w:rPr>
          <w:rFonts w:ascii="Times New Roman" w:hAnsi="Times New Roman" w:cs="Times New Roman"/>
          <w:color w:val="FF0000"/>
          <w:sz w:val="24"/>
          <w:szCs w:val="24"/>
        </w:rPr>
        <w:t>Oredoyin v Arowolo (1989) NWLR (pt.114) 172</w:t>
      </w:r>
      <w:r w:rsidR="005B3DF0" w:rsidRPr="00227C5C">
        <w:rPr>
          <w:rFonts w:ascii="Times New Roman" w:hAnsi="Times New Roman" w:cs="Times New Roman"/>
          <w:sz w:val="24"/>
          <w:szCs w:val="24"/>
        </w:rPr>
        <w:t xml:space="preserve">. This remedy is backed up constitutionally by virtue of </w:t>
      </w:r>
      <w:r w:rsidR="005B3DF0" w:rsidRPr="00227C5C">
        <w:rPr>
          <w:rFonts w:ascii="Times New Roman" w:hAnsi="Times New Roman" w:cs="Times New Roman"/>
          <w:color w:val="FF0000"/>
          <w:sz w:val="24"/>
          <w:szCs w:val="24"/>
        </w:rPr>
        <w:t>sections 272 &amp; 241 of the CFRN</w:t>
      </w:r>
      <w:r w:rsidR="005B3DF0" w:rsidRPr="00227C5C">
        <w:rPr>
          <w:rFonts w:ascii="Times New Roman" w:hAnsi="Times New Roman" w:cs="Times New Roman"/>
          <w:sz w:val="24"/>
          <w:szCs w:val="24"/>
        </w:rPr>
        <w:t>. To this effect, the High court of state has appellate jurisdiction on criminal matters and that such appeal will lie as of right to the Court of Appeal on any final criminal decision of the Federal High Court or State High Court at the first instance or where a death sentence has been imposed respectively.</w:t>
      </w:r>
      <w:r w:rsidR="007A5262" w:rsidRPr="00227C5C">
        <w:rPr>
          <w:rFonts w:ascii="Times New Roman" w:hAnsi="Times New Roman" w:cs="Times New Roman"/>
          <w:sz w:val="24"/>
          <w:szCs w:val="24"/>
        </w:rPr>
        <w:t xml:space="preserve"> While the option of appeal is at the disposal of the accused, the accused should also simultaneously file a notice of appeal signed either by him or his counsel at the registry of the court that gave the judgement; and if refused, he may file it at the registry of the court being appealed to. By virtue of </w:t>
      </w:r>
      <w:r w:rsidR="007A5262" w:rsidRPr="00227C5C">
        <w:rPr>
          <w:rFonts w:ascii="Times New Roman" w:hAnsi="Times New Roman" w:cs="Times New Roman"/>
          <w:color w:val="FF0000"/>
          <w:sz w:val="24"/>
          <w:szCs w:val="24"/>
        </w:rPr>
        <w:t>section 69 of the Magistrate Court Laws</w:t>
      </w:r>
      <w:r w:rsidR="007A5262" w:rsidRPr="00227C5C">
        <w:rPr>
          <w:rFonts w:ascii="Times New Roman" w:hAnsi="Times New Roman" w:cs="Times New Roman"/>
          <w:sz w:val="24"/>
          <w:szCs w:val="24"/>
        </w:rPr>
        <w:t>, a criminal appeal should be filled within</w:t>
      </w:r>
      <w:r w:rsidR="00897693" w:rsidRPr="00227C5C">
        <w:rPr>
          <w:rFonts w:ascii="Times New Roman" w:hAnsi="Times New Roman" w:cs="Times New Roman"/>
          <w:sz w:val="24"/>
          <w:szCs w:val="24"/>
        </w:rPr>
        <w:t xml:space="preserve"> thirty</w:t>
      </w:r>
      <w:r w:rsidR="007A5262" w:rsidRPr="00227C5C">
        <w:rPr>
          <w:rFonts w:ascii="Times New Roman" w:hAnsi="Times New Roman" w:cs="Times New Roman"/>
          <w:sz w:val="24"/>
          <w:szCs w:val="24"/>
        </w:rPr>
        <w:t xml:space="preserve"> </w:t>
      </w:r>
      <w:r w:rsidR="00897693" w:rsidRPr="00227C5C">
        <w:rPr>
          <w:rFonts w:ascii="Times New Roman" w:hAnsi="Times New Roman" w:cs="Times New Roman"/>
          <w:sz w:val="24"/>
          <w:szCs w:val="24"/>
        </w:rPr>
        <w:t>(</w:t>
      </w:r>
      <w:r w:rsidR="007A5262" w:rsidRPr="00227C5C">
        <w:rPr>
          <w:rFonts w:ascii="Times New Roman" w:hAnsi="Times New Roman" w:cs="Times New Roman"/>
          <w:sz w:val="24"/>
          <w:szCs w:val="24"/>
        </w:rPr>
        <w:t>30</w:t>
      </w:r>
      <w:r w:rsidR="00897693" w:rsidRPr="00227C5C">
        <w:rPr>
          <w:rFonts w:ascii="Times New Roman" w:hAnsi="Times New Roman" w:cs="Times New Roman"/>
          <w:sz w:val="24"/>
          <w:szCs w:val="24"/>
        </w:rPr>
        <w:t>)</w:t>
      </w:r>
      <w:r w:rsidR="007A5262" w:rsidRPr="00227C5C">
        <w:rPr>
          <w:rFonts w:ascii="Times New Roman" w:hAnsi="Times New Roman" w:cs="Times New Roman"/>
          <w:sz w:val="24"/>
          <w:szCs w:val="24"/>
        </w:rPr>
        <w:t xml:space="preserve"> days after the delivery of the judgement of the Magistrate court. However, with respect to the </w:t>
      </w:r>
      <w:r w:rsidR="00897693" w:rsidRPr="00227C5C">
        <w:rPr>
          <w:rFonts w:ascii="Times New Roman" w:hAnsi="Times New Roman" w:cs="Times New Roman"/>
          <w:sz w:val="24"/>
          <w:szCs w:val="24"/>
        </w:rPr>
        <w:t xml:space="preserve">Court of Appeal, a criminal appeal shall be filled within ninety (90) days after the delivery of the judgement by the High Court or Federal High Court as embedded in </w:t>
      </w:r>
      <w:r w:rsidR="00897693" w:rsidRPr="00227C5C">
        <w:rPr>
          <w:rFonts w:ascii="Times New Roman" w:hAnsi="Times New Roman" w:cs="Times New Roman"/>
          <w:color w:val="FF0000"/>
          <w:sz w:val="24"/>
          <w:szCs w:val="24"/>
        </w:rPr>
        <w:t>section 24 of the Court of Appeal Act</w:t>
      </w:r>
      <w:r w:rsidR="00897693" w:rsidRPr="00227C5C">
        <w:rPr>
          <w:rFonts w:ascii="Times New Roman" w:hAnsi="Times New Roman" w:cs="Times New Roman"/>
          <w:sz w:val="24"/>
          <w:szCs w:val="24"/>
        </w:rPr>
        <w:t>. Further appeal to the Supreme Court shall be within thirty (30) days after the delivery of judgement of the Court of Appeal.</w:t>
      </w:r>
    </w:p>
    <w:p w:rsidR="00282C95" w:rsidRPr="00227C5C" w:rsidRDefault="00282C95" w:rsidP="00227C5C">
      <w:pPr>
        <w:rPr>
          <w:sz w:val="24"/>
          <w:szCs w:val="24"/>
        </w:rPr>
      </w:pPr>
      <w:r w:rsidRPr="00227C5C">
        <w:rPr>
          <w:rFonts w:ascii="Times New Roman" w:hAnsi="Times New Roman" w:cs="Times New Roman"/>
          <w:sz w:val="24"/>
          <w:szCs w:val="24"/>
        </w:rPr>
        <w:t xml:space="preserve">        </w:t>
      </w:r>
      <w:r w:rsidR="00227C5C">
        <w:rPr>
          <w:rFonts w:ascii="Times New Roman" w:hAnsi="Times New Roman" w:cs="Times New Roman"/>
          <w:sz w:val="24"/>
          <w:szCs w:val="24"/>
        </w:rPr>
        <w:t xml:space="preserve">        </w:t>
      </w:r>
      <w:r w:rsidR="0075460D" w:rsidRPr="00227C5C">
        <w:rPr>
          <w:rFonts w:ascii="Times New Roman" w:hAnsi="Times New Roman" w:cs="Times New Roman"/>
          <w:sz w:val="24"/>
          <w:szCs w:val="24"/>
        </w:rPr>
        <w:t>Conclusively, when an accused person has taken advantage of appealing his conviction to a higher court and the appeal is being heard in</w:t>
      </w:r>
      <w:r w:rsidR="00CA4BD2">
        <w:rPr>
          <w:rFonts w:ascii="Times New Roman" w:hAnsi="Times New Roman" w:cs="Times New Roman"/>
          <w:sz w:val="24"/>
          <w:szCs w:val="24"/>
        </w:rPr>
        <w:t xml:space="preserve"> his favour then his conviction </w:t>
      </w:r>
      <w:r w:rsidR="0075460D" w:rsidRPr="00227C5C">
        <w:rPr>
          <w:rFonts w:ascii="Times New Roman" w:hAnsi="Times New Roman" w:cs="Times New Roman"/>
          <w:sz w:val="24"/>
          <w:szCs w:val="24"/>
        </w:rPr>
        <w:t xml:space="preserve">and sentencing </w:t>
      </w:r>
      <w:r w:rsidRPr="00227C5C">
        <w:rPr>
          <w:rFonts w:ascii="Times New Roman" w:hAnsi="Times New Roman" w:cs="Times New Roman"/>
          <w:sz w:val="24"/>
          <w:szCs w:val="24"/>
        </w:rPr>
        <w:t>by the lower court is set aside. Hence, the accused is being discharged and cleared of all criminal liabilities.</w:t>
      </w:r>
      <w:r w:rsidR="0075460D" w:rsidRPr="00227C5C">
        <w:rPr>
          <w:rFonts w:ascii="Times New Roman" w:hAnsi="Times New Roman" w:cs="Times New Roman"/>
          <w:sz w:val="24"/>
          <w:szCs w:val="24"/>
        </w:rPr>
        <w:t xml:space="preserve"> </w:t>
      </w:r>
      <w:r w:rsidRPr="00227C5C">
        <w:rPr>
          <w:rFonts w:ascii="Times New Roman" w:hAnsi="Times New Roman" w:cs="Times New Roman"/>
          <w:sz w:val="24"/>
          <w:szCs w:val="24"/>
        </w:rPr>
        <w:t xml:space="preserve">An accused could also be granted pardon by the President and this here is constitutionally backed up by </w:t>
      </w:r>
      <w:r w:rsidRPr="00227C5C">
        <w:rPr>
          <w:rFonts w:ascii="Times New Roman" w:hAnsi="Times New Roman" w:cs="Times New Roman"/>
          <w:color w:val="FF0000"/>
          <w:sz w:val="24"/>
          <w:szCs w:val="24"/>
        </w:rPr>
        <w:t>section 175(1) of the CFRN</w:t>
      </w:r>
      <w:r w:rsidRPr="00227C5C">
        <w:rPr>
          <w:rFonts w:ascii="Times New Roman" w:hAnsi="Times New Roman" w:cs="Times New Roman"/>
          <w:sz w:val="24"/>
          <w:szCs w:val="24"/>
        </w:rPr>
        <w:t xml:space="preserve"> which states that the President may grant to any person convicted of any offence created b</w:t>
      </w:r>
      <w:r w:rsidR="0082010C" w:rsidRPr="00227C5C">
        <w:rPr>
          <w:rFonts w:ascii="Times New Roman" w:hAnsi="Times New Roman" w:cs="Times New Roman"/>
          <w:sz w:val="24"/>
          <w:szCs w:val="24"/>
        </w:rPr>
        <w:t xml:space="preserve">y an Act of the </w:t>
      </w:r>
      <w:r w:rsidRPr="00227C5C">
        <w:rPr>
          <w:rFonts w:ascii="Times New Roman" w:hAnsi="Times New Roman" w:cs="Times New Roman"/>
          <w:sz w:val="24"/>
          <w:szCs w:val="24"/>
        </w:rPr>
        <w:t>National Assembly</w:t>
      </w:r>
      <w:r w:rsidR="007A5262" w:rsidRPr="00227C5C">
        <w:rPr>
          <w:rFonts w:ascii="Times New Roman" w:hAnsi="Times New Roman" w:cs="Times New Roman"/>
          <w:sz w:val="24"/>
          <w:szCs w:val="24"/>
        </w:rPr>
        <w:t xml:space="preserve"> </w:t>
      </w:r>
      <w:r w:rsidRPr="00227C5C">
        <w:rPr>
          <w:rFonts w:ascii="Times New Roman" w:hAnsi="Times New Roman" w:cs="Times New Roman"/>
          <w:sz w:val="24"/>
          <w:szCs w:val="24"/>
        </w:rPr>
        <w:t>a pardon either free or subject to lawful conditions.</w:t>
      </w:r>
      <w:r w:rsidR="005B3DF0" w:rsidRPr="00227C5C">
        <w:rPr>
          <w:sz w:val="24"/>
          <w:szCs w:val="24"/>
        </w:rPr>
        <w:t xml:space="preserve"> </w:t>
      </w:r>
    </w:p>
    <w:p w:rsidR="0082010C" w:rsidRDefault="008C4284" w:rsidP="0082010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Upon the identification </w:t>
      </w:r>
      <w:r w:rsidR="00B20730">
        <w:rPr>
          <w:rFonts w:ascii="Times New Roman" w:hAnsi="Times New Roman" w:cs="Times New Roman"/>
          <w:sz w:val="24"/>
          <w:szCs w:val="24"/>
        </w:rPr>
        <w:t>of a civil wrong, the claimant’s counsel is obliged to identify the appropriate court with the jurisdiction to hear the suit. Hence, the claimant’s counsel may commence the action by way of the most appropriate means listed below:</w:t>
      </w:r>
    </w:p>
    <w:p w:rsidR="00B20730" w:rsidRDefault="00B20730" w:rsidP="00B207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Writ of summons</w:t>
      </w:r>
    </w:p>
    <w:p w:rsidR="00B20730" w:rsidRDefault="00B20730" w:rsidP="00B207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Originating summons </w:t>
      </w:r>
    </w:p>
    <w:p w:rsidR="00B20730" w:rsidRDefault="00B20730" w:rsidP="00B207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Originating motion</w:t>
      </w:r>
    </w:p>
    <w:p w:rsidR="00B20730" w:rsidRDefault="00B20730" w:rsidP="00B2073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Petition</w:t>
      </w:r>
    </w:p>
    <w:p w:rsidR="00553A50" w:rsidRDefault="00B20730" w:rsidP="00B20730">
      <w:pPr>
        <w:ind w:left="1080"/>
        <w:rPr>
          <w:rFonts w:ascii="Times New Roman" w:hAnsi="Times New Roman" w:cs="Times New Roman"/>
          <w:sz w:val="24"/>
          <w:szCs w:val="24"/>
        </w:rPr>
      </w:pPr>
      <w:r>
        <w:rPr>
          <w:rFonts w:ascii="Times New Roman" w:hAnsi="Times New Roman" w:cs="Times New Roman"/>
          <w:sz w:val="24"/>
          <w:szCs w:val="24"/>
          <w:u w:val="single"/>
        </w:rPr>
        <w:t>Writ of summons</w:t>
      </w:r>
      <w:r>
        <w:rPr>
          <w:rFonts w:ascii="Times New Roman" w:hAnsi="Times New Roman" w:cs="Times New Roman"/>
          <w:sz w:val="24"/>
          <w:szCs w:val="24"/>
        </w:rPr>
        <w:t xml:space="preserve">: This is the most common mode of commencing a civil action on argumentative matters. In essence, where there is a disagreement between the parties with respect to the subject </w:t>
      </w:r>
      <w:r w:rsidR="00553A50">
        <w:rPr>
          <w:rFonts w:ascii="Times New Roman" w:hAnsi="Times New Roman" w:cs="Times New Roman"/>
          <w:sz w:val="24"/>
          <w:szCs w:val="24"/>
        </w:rPr>
        <w:t>matter of the suit, a writ of summon is sent to the unyielding party. It is important to know that the party who commenced a suit by writ of summon is called the claimant, while the party whom the suit is against is called the defendant. In addition, when filing a writ of summon at the Court Registry, the counsel has to file it with the following statement of claim:</w:t>
      </w:r>
    </w:p>
    <w:p w:rsidR="00B20730" w:rsidRDefault="00553A50" w:rsidP="00553A5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List </w:t>
      </w:r>
      <w:r w:rsidR="00235921">
        <w:rPr>
          <w:rFonts w:ascii="Times New Roman" w:hAnsi="Times New Roman" w:cs="Times New Roman"/>
          <w:sz w:val="24"/>
          <w:szCs w:val="24"/>
        </w:rPr>
        <w:t>of witnesses to be called at the</w:t>
      </w:r>
      <w:r>
        <w:rPr>
          <w:rFonts w:ascii="Times New Roman" w:hAnsi="Times New Roman" w:cs="Times New Roman"/>
          <w:sz w:val="24"/>
          <w:szCs w:val="24"/>
        </w:rPr>
        <w:t xml:space="preserve"> trial.</w:t>
      </w:r>
    </w:p>
    <w:p w:rsidR="00553A50" w:rsidRDefault="00235921" w:rsidP="00553A50">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List of documents to be relied on.</w:t>
      </w:r>
    </w:p>
    <w:p w:rsidR="00235921" w:rsidRDefault="00235921" w:rsidP="002359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Written witnesses statement on oath.</w:t>
      </w:r>
    </w:p>
    <w:p w:rsidR="00235921" w:rsidRDefault="00235921" w:rsidP="002359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Certificate of pre-action counselling form.</w:t>
      </w:r>
    </w:p>
    <w:p w:rsidR="00235921" w:rsidRDefault="00235921" w:rsidP="00235921">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Pre-action protocol form.</w:t>
      </w:r>
    </w:p>
    <w:p w:rsidR="00235921" w:rsidRDefault="00235921" w:rsidP="00235921">
      <w:pPr>
        <w:ind w:left="1139"/>
        <w:rPr>
          <w:rFonts w:ascii="Times New Roman" w:hAnsi="Times New Roman" w:cs="Times New Roman"/>
          <w:sz w:val="24"/>
          <w:szCs w:val="24"/>
        </w:rPr>
      </w:pPr>
      <w:r>
        <w:rPr>
          <w:rFonts w:ascii="Times New Roman" w:hAnsi="Times New Roman" w:cs="Times New Roman"/>
          <w:sz w:val="24"/>
          <w:szCs w:val="24"/>
        </w:rPr>
        <w:t xml:space="preserve">These filing guidelines are embedded in </w:t>
      </w:r>
      <w:r w:rsidRPr="00CA4BD2">
        <w:rPr>
          <w:rFonts w:ascii="Times New Roman" w:hAnsi="Times New Roman" w:cs="Times New Roman"/>
          <w:color w:val="FF0000"/>
          <w:sz w:val="24"/>
          <w:szCs w:val="24"/>
        </w:rPr>
        <w:t>order 2 rule 2 of the High Court of the Federal Capital Territory Civil Procedure Rules, 2018</w:t>
      </w:r>
      <w:r>
        <w:rPr>
          <w:rFonts w:ascii="Times New Roman" w:hAnsi="Times New Roman" w:cs="Times New Roman"/>
          <w:sz w:val="24"/>
          <w:szCs w:val="24"/>
        </w:rPr>
        <w:t>.</w:t>
      </w:r>
    </w:p>
    <w:p w:rsidR="00A97B54" w:rsidRDefault="00235921" w:rsidP="00235921">
      <w:pPr>
        <w:ind w:left="1139"/>
        <w:rPr>
          <w:rFonts w:ascii="Times New Roman" w:hAnsi="Times New Roman" w:cs="Times New Roman"/>
          <w:sz w:val="24"/>
          <w:szCs w:val="24"/>
        </w:rPr>
      </w:pPr>
      <w:r>
        <w:rPr>
          <w:rFonts w:ascii="Times New Roman" w:hAnsi="Times New Roman" w:cs="Times New Roman"/>
          <w:sz w:val="24"/>
          <w:szCs w:val="24"/>
          <w:u w:val="single"/>
        </w:rPr>
        <w:t>Originating summons</w:t>
      </w:r>
      <w:r>
        <w:rPr>
          <w:rFonts w:ascii="Times New Roman" w:hAnsi="Times New Roman" w:cs="Times New Roman"/>
          <w:sz w:val="24"/>
          <w:szCs w:val="24"/>
        </w:rPr>
        <w:t xml:space="preserve">: </w:t>
      </w:r>
      <w:r w:rsidR="00265E4B">
        <w:rPr>
          <w:rFonts w:ascii="Times New Roman" w:hAnsi="Times New Roman" w:cs="Times New Roman"/>
          <w:sz w:val="24"/>
          <w:szCs w:val="24"/>
        </w:rPr>
        <w:t xml:space="preserve">This is used for non-argumentative matters like interpretation of laws or deeds or agreements. This is to say that the parties in the suit are not disputing on a subject matter rather on the purported meaning of a paragraph of a law or deed. Pursuant </w:t>
      </w:r>
      <w:r w:rsidR="00A97B54">
        <w:rPr>
          <w:rFonts w:ascii="Times New Roman" w:hAnsi="Times New Roman" w:cs="Times New Roman"/>
          <w:sz w:val="24"/>
          <w:szCs w:val="24"/>
        </w:rPr>
        <w:t xml:space="preserve">to </w:t>
      </w:r>
      <w:r w:rsidR="00A97B54" w:rsidRPr="00CA4BD2">
        <w:rPr>
          <w:rFonts w:ascii="Times New Roman" w:hAnsi="Times New Roman" w:cs="Times New Roman"/>
          <w:color w:val="FF0000"/>
          <w:sz w:val="24"/>
          <w:szCs w:val="24"/>
        </w:rPr>
        <w:t xml:space="preserve">order 2 rule </w:t>
      </w:r>
      <w:r w:rsidR="00265E4B" w:rsidRPr="00CA4BD2">
        <w:rPr>
          <w:rFonts w:ascii="Times New Roman" w:hAnsi="Times New Roman" w:cs="Times New Roman"/>
          <w:color w:val="FF0000"/>
          <w:sz w:val="24"/>
          <w:szCs w:val="24"/>
        </w:rPr>
        <w:t>3 of the High Court Civil Procedure Rules, 2018</w:t>
      </w:r>
      <w:r w:rsidR="00265E4B">
        <w:rPr>
          <w:rFonts w:ascii="Times New Roman" w:hAnsi="Times New Roman" w:cs="Times New Roman"/>
          <w:sz w:val="24"/>
          <w:szCs w:val="24"/>
        </w:rPr>
        <w:t xml:space="preserve"> it is said that when commencing an action with originating summons, the counsel has to attach to his file an affidavit selling to the fact that it is r</w:t>
      </w:r>
      <w:r w:rsidR="00A97B54">
        <w:rPr>
          <w:rFonts w:ascii="Times New Roman" w:hAnsi="Times New Roman" w:cs="Times New Roman"/>
          <w:sz w:val="24"/>
          <w:szCs w:val="24"/>
        </w:rPr>
        <w:t>elied upon, a written address in support, all exhibits to be relied upon and a certificate of pre-action counselling and protocol form.</w:t>
      </w:r>
    </w:p>
    <w:p w:rsidR="00A97B54" w:rsidRDefault="00A97B54" w:rsidP="00235921">
      <w:pPr>
        <w:ind w:left="1139"/>
        <w:rPr>
          <w:rFonts w:ascii="Times New Roman" w:hAnsi="Times New Roman" w:cs="Times New Roman"/>
          <w:sz w:val="24"/>
          <w:szCs w:val="24"/>
        </w:rPr>
      </w:pPr>
      <w:r>
        <w:rPr>
          <w:rFonts w:ascii="Times New Roman" w:hAnsi="Times New Roman" w:cs="Times New Roman"/>
          <w:sz w:val="24"/>
          <w:szCs w:val="24"/>
          <w:u w:val="single"/>
        </w:rPr>
        <w:t>Originating motion</w:t>
      </w:r>
      <w:r w:rsidRPr="00A97B54">
        <w:rPr>
          <w:rFonts w:ascii="Times New Roman" w:hAnsi="Times New Roman" w:cs="Times New Roman"/>
          <w:sz w:val="24"/>
          <w:szCs w:val="24"/>
        </w:rPr>
        <w:t>:</w:t>
      </w:r>
      <w:r>
        <w:rPr>
          <w:rFonts w:ascii="Times New Roman" w:hAnsi="Times New Roman" w:cs="Times New Roman"/>
          <w:sz w:val="24"/>
          <w:szCs w:val="24"/>
        </w:rPr>
        <w:t xml:space="preserve"> </w:t>
      </w:r>
      <w:r w:rsidR="000B2D4D">
        <w:rPr>
          <w:rFonts w:ascii="Times New Roman" w:hAnsi="Times New Roman" w:cs="Times New Roman"/>
          <w:sz w:val="24"/>
          <w:szCs w:val="24"/>
        </w:rPr>
        <w:t>this is used only when provided for by statute or rules of court. For example, a prerogative writ of an order of mandamus, prohibition or certiorari and also for the enforcement of fundamental human rights. When commencing an action with originating motion, the counsel has to file it with the following:</w:t>
      </w:r>
    </w:p>
    <w:p w:rsidR="000B2D4D" w:rsidRDefault="000B2D4D" w:rsidP="000B2D4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statement setting out the name and description of the applicant.</w:t>
      </w:r>
    </w:p>
    <w:p w:rsidR="000B2D4D" w:rsidRDefault="000B2D4D" w:rsidP="000B2D4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The relief sought and the grounds on which the reliefs are being sought.</w:t>
      </w:r>
    </w:p>
    <w:p w:rsidR="000B2D4D" w:rsidRDefault="000B2D4D" w:rsidP="000B2D4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An affidavit setting out facts upon which the application is made; and</w:t>
      </w:r>
    </w:p>
    <w:p w:rsidR="000B2D4D" w:rsidRDefault="000B2D4D" w:rsidP="000B2D4D">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written address in support.</w:t>
      </w:r>
    </w:p>
    <w:p w:rsidR="00235921" w:rsidRPr="00235921" w:rsidRDefault="000B2D4D" w:rsidP="001E0F37">
      <w:pPr>
        <w:ind w:left="1139"/>
        <w:rPr>
          <w:rFonts w:ascii="Times New Roman" w:hAnsi="Times New Roman" w:cs="Times New Roman"/>
          <w:sz w:val="24"/>
          <w:szCs w:val="24"/>
        </w:rPr>
      </w:pPr>
      <w:r>
        <w:rPr>
          <w:rFonts w:ascii="Times New Roman" w:hAnsi="Times New Roman" w:cs="Times New Roman"/>
          <w:sz w:val="24"/>
          <w:szCs w:val="24"/>
          <w:u w:val="single"/>
        </w:rPr>
        <w:t>Petition</w:t>
      </w:r>
      <w:r>
        <w:rPr>
          <w:rFonts w:ascii="Times New Roman" w:hAnsi="Times New Roman" w:cs="Times New Roman"/>
          <w:sz w:val="24"/>
          <w:szCs w:val="24"/>
        </w:rPr>
        <w:t xml:space="preserve">: This is used when the law governing the wrong says so. By virtue of </w:t>
      </w:r>
      <w:r w:rsidRPr="00CA4BD2">
        <w:rPr>
          <w:rFonts w:ascii="Times New Roman" w:hAnsi="Times New Roman" w:cs="Times New Roman"/>
          <w:color w:val="FF0000"/>
          <w:sz w:val="24"/>
          <w:szCs w:val="24"/>
        </w:rPr>
        <w:t>section 133 of the Electoral Act</w:t>
      </w:r>
      <w:r>
        <w:rPr>
          <w:rFonts w:ascii="Times New Roman" w:hAnsi="Times New Roman" w:cs="Times New Roman"/>
          <w:sz w:val="24"/>
          <w:szCs w:val="24"/>
        </w:rPr>
        <w:t xml:space="preserve">, electoral matters are to be commenced by petition. Matrimonial causes are commenced by </w:t>
      </w:r>
      <w:r w:rsidR="00227C5C">
        <w:rPr>
          <w:rFonts w:ascii="Times New Roman" w:hAnsi="Times New Roman" w:cs="Times New Roman"/>
          <w:sz w:val="24"/>
          <w:szCs w:val="24"/>
        </w:rPr>
        <w:t>petition as well as some matter under the Companies and Allied matters Act. It is important to note here that the party who commences such matter is known as the petitioner, while the person whom the matter is against is known as the respondent.</w:t>
      </w:r>
      <w:bookmarkStart w:id="0" w:name="_GoBack"/>
      <w:bookmarkEnd w:id="0"/>
      <w:r w:rsidR="00A97B54">
        <w:rPr>
          <w:rFonts w:ascii="Times New Roman" w:hAnsi="Times New Roman" w:cs="Times New Roman"/>
          <w:sz w:val="24"/>
          <w:szCs w:val="24"/>
        </w:rPr>
        <w:t xml:space="preserve"> </w:t>
      </w:r>
    </w:p>
    <w:sectPr w:rsidR="00235921" w:rsidRPr="0023592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F49" w:rsidRDefault="00AC4F49" w:rsidP="00643917">
      <w:pPr>
        <w:spacing w:after="0" w:line="240" w:lineRule="auto"/>
      </w:pPr>
      <w:r>
        <w:separator/>
      </w:r>
    </w:p>
  </w:endnote>
  <w:endnote w:type="continuationSeparator" w:id="0">
    <w:p w:rsidR="00AC4F49" w:rsidRDefault="00AC4F49" w:rsidP="00643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EC0" w:rsidRDefault="00AC4F49">
    <w:pPr>
      <w:pStyle w:val="Footer"/>
      <w:pBdr>
        <w:top w:val="thinThickSmallGap" w:sz="24" w:space="1" w:color="622423"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8180775C77EF49C9B9B7263E34CE2791"/>
        </w:placeholder>
        <w:temporary/>
        <w:showingPlcHdr/>
      </w:sdtPr>
      <w:sdtEndPr/>
      <w:sdtContent>
        <w:r w:rsidR="00D63EC0">
          <w:rPr>
            <w:rFonts w:asciiTheme="majorHAnsi" w:eastAsiaTheme="majorEastAsia" w:hAnsiTheme="majorHAnsi" w:cstheme="majorBidi"/>
          </w:rPr>
          <w:t>[Type text]</w:t>
        </w:r>
      </w:sdtContent>
    </w:sdt>
    <w:r w:rsidR="00D63EC0">
      <w:rPr>
        <w:rFonts w:asciiTheme="majorHAnsi" w:eastAsiaTheme="majorEastAsia" w:hAnsiTheme="majorHAnsi" w:cstheme="majorBidi"/>
      </w:rPr>
      <w:ptab w:relativeTo="margin" w:alignment="right" w:leader="none"/>
    </w:r>
    <w:r w:rsidR="00D63EC0">
      <w:rPr>
        <w:rFonts w:asciiTheme="majorHAnsi" w:eastAsiaTheme="majorEastAsia" w:hAnsiTheme="majorHAnsi" w:cstheme="majorBidi"/>
      </w:rPr>
      <w:t xml:space="preserve">Page </w:t>
    </w:r>
    <w:r w:rsidR="00D63EC0">
      <w:rPr>
        <w:rFonts w:eastAsiaTheme="minorEastAsia"/>
      </w:rPr>
      <w:fldChar w:fldCharType="begin"/>
    </w:r>
    <w:r w:rsidR="00D63EC0">
      <w:instrText xml:space="preserve"> PAGE   \* MERGEFORMAT </w:instrText>
    </w:r>
    <w:r w:rsidR="00D63EC0">
      <w:rPr>
        <w:rFonts w:eastAsiaTheme="minorEastAsia"/>
      </w:rPr>
      <w:fldChar w:fldCharType="separate"/>
    </w:r>
    <w:r w:rsidRPr="00AC4F49">
      <w:rPr>
        <w:rFonts w:asciiTheme="majorHAnsi" w:eastAsiaTheme="majorEastAsia" w:hAnsiTheme="majorHAnsi" w:cstheme="majorBidi"/>
        <w:noProof/>
      </w:rPr>
      <w:t>1</w:t>
    </w:r>
    <w:r w:rsidR="00D63EC0">
      <w:rPr>
        <w:rFonts w:asciiTheme="majorHAnsi" w:eastAsiaTheme="majorEastAsia" w:hAnsiTheme="majorHAnsi" w:cstheme="majorBidi"/>
        <w:noProof/>
      </w:rPr>
      <w:fldChar w:fldCharType="end"/>
    </w:r>
  </w:p>
  <w:p w:rsidR="00D63EC0" w:rsidRDefault="00D63E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F49" w:rsidRDefault="00AC4F49" w:rsidP="00643917">
      <w:pPr>
        <w:spacing w:after="0" w:line="240" w:lineRule="auto"/>
      </w:pPr>
      <w:r>
        <w:separator/>
      </w:r>
    </w:p>
  </w:footnote>
  <w:footnote w:type="continuationSeparator" w:id="0">
    <w:p w:rsidR="00AC4F49" w:rsidRDefault="00AC4F49" w:rsidP="006439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sz w:val="40"/>
        <w:szCs w:val="40"/>
      </w:rPr>
      <w:alias w:val="Title"/>
      <w:id w:val="77738743"/>
      <w:placeholder>
        <w:docPart w:val="F20648AE4A64403799556B240EA800E5"/>
      </w:placeholder>
      <w:dataBinding w:prefixMappings="xmlns:ns0='http://schemas.openxmlformats.org/package/2006/metadata/core-properties' xmlns:ns1='http://purl.org/dc/elements/1.1/'" w:xpath="/ns0:coreProperties[1]/ns1:title[1]" w:storeItemID="{6C3C8BC8-F283-45AE-878A-BAB7291924A1}"/>
      <w:text/>
    </w:sdtPr>
    <w:sdtEndPr/>
    <w:sdtContent>
      <w:p w:rsidR="00643917" w:rsidRPr="00643917" w:rsidRDefault="00643917">
        <w:pPr>
          <w:pStyle w:val="Header"/>
          <w:pBdr>
            <w:bottom w:val="thickThinSmallGap" w:sz="24" w:space="1" w:color="622423" w:themeColor="accent2" w:themeShade="7F"/>
          </w:pBdr>
          <w:jc w:val="center"/>
          <w:rPr>
            <w:rFonts w:ascii="Times New Roman" w:eastAsiaTheme="majorEastAsia" w:hAnsi="Times New Roman" w:cs="Times New Roman"/>
            <w:b/>
            <w:sz w:val="40"/>
            <w:szCs w:val="40"/>
          </w:rPr>
        </w:pPr>
        <w:r w:rsidRPr="00643917">
          <w:rPr>
            <w:rFonts w:ascii="Times New Roman" w:eastAsiaTheme="majorEastAsia" w:hAnsi="Times New Roman" w:cs="Times New Roman"/>
            <w:b/>
            <w:sz w:val="40"/>
            <w:szCs w:val="40"/>
          </w:rPr>
          <w:t>NIGERIAN LEGAL SYSTEM II (NLS) [LPI 204] ASSIGNMENT</w:t>
        </w:r>
      </w:p>
    </w:sdtContent>
  </w:sdt>
  <w:p w:rsidR="00643917" w:rsidRDefault="006439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861FA"/>
    <w:multiLevelType w:val="hybridMultilevel"/>
    <w:tmpl w:val="04627074"/>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
    <w:nsid w:val="0DED7F25"/>
    <w:multiLevelType w:val="hybridMultilevel"/>
    <w:tmpl w:val="22D46980"/>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2">
    <w:nsid w:val="19FF732C"/>
    <w:multiLevelType w:val="hybridMultilevel"/>
    <w:tmpl w:val="4A6EE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AC33C0"/>
    <w:multiLevelType w:val="hybridMultilevel"/>
    <w:tmpl w:val="A2DA11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0A41F0"/>
    <w:multiLevelType w:val="hybridMultilevel"/>
    <w:tmpl w:val="94BEEAAA"/>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1863DEF"/>
    <w:multiLevelType w:val="hybridMultilevel"/>
    <w:tmpl w:val="711A90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8208FD"/>
    <w:multiLevelType w:val="hybridMultilevel"/>
    <w:tmpl w:val="FA58C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52386F"/>
    <w:multiLevelType w:val="hybridMultilevel"/>
    <w:tmpl w:val="2ECE0154"/>
    <w:lvl w:ilvl="0" w:tplc="4DE609CA">
      <w:start w:val="1"/>
      <w:numFmt w:val="lowerLetter"/>
      <w:lvlText w:val="%1."/>
      <w:lvlJc w:val="left"/>
      <w:pPr>
        <w:ind w:left="1861" w:hanging="360"/>
      </w:pPr>
      <w:rPr>
        <w:color w:val="auto"/>
      </w:rPr>
    </w:lvl>
    <w:lvl w:ilvl="1" w:tplc="08090019" w:tentative="1">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8">
    <w:nsid w:val="7FA35563"/>
    <w:multiLevelType w:val="hybridMultilevel"/>
    <w:tmpl w:val="3B583346"/>
    <w:lvl w:ilvl="0" w:tplc="617C3C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8"/>
  </w:num>
  <w:num w:numId="4">
    <w:abstractNumId w:val="7"/>
  </w:num>
  <w:num w:numId="5">
    <w:abstractNumId w:val="5"/>
  </w:num>
  <w:num w:numId="6">
    <w:abstractNumId w:val="2"/>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17"/>
    <w:rsid w:val="000B2D4D"/>
    <w:rsid w:val="00101CFC"/>
    <w:rsid w:val="00106C4A"/>
    <w:rsid w:val="00144E8A"/>
    <w:rsid w:val="00153A57"/>
    <w:rsid w:val="001E0F37"/>
    <w:rsid w:val="00227C5C"/>
    <w:rsid w:val="00235921"/>
    <w:rsid w:val="0023783E"/>
    <w:rsid w:val="00265E4B"/>
    <w:rsid w:val="00282C95"/>
    <w:rsid w:val="00297AB6"/>
    <w:rsid w:val="00333EC4"/>
    <w:rsid w:val="004733C7"/>
    <w:rsid w:val="005041B6"/>
    <w:rsid w:val="005209C9"/>
    <w:rsid w:val="00553A50"/>
    <w:rsid w:val="00567036"/>
    <w:rsid w:val="005B3DF0"/>
    <w:rsid w:val="00643917"/>
    <w:rsid w:val="0075460D"/>
    <w:rsid w:val="007A5262"/>
    <w:rsid w:val="007B2CFB"/>
    <w:rsid w:val="00800B58"/>
    <w:rsid w:val="0082010C"/>
    <w:rsid w:val="00897693"/>
    <w:rsid w:val="008C4284"/>
    <w:rsid w:val="009D0D6C"/>
    <w:rsid w:val="00A97B54"/>
    <w:rsid w:val="00AC4F49"/>
    <w:rsid w:val="00B20730"/>
    <w:rsid w:val="00C21559"/>
    <w:rsid w:val="00C8478D"/>
    <w:rsid w:val="00CA4BD2"/>
    <w:rsid w:val="00D63EC0"/>
    <w:rsid w:val="00D85F2D"/>
    <w:rsid w:val="00DD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917"/>
  </w:style>
  <w:style w:type="paragraph" w:styleId="Footer">
    <w:name w:val="footer"/>
    <w:basedOn w:val="Normal"/>
    <w:link w:val="FooterChar"/>
    <w:uiPriority w:val="99"/>
    <w:unhideWhenUsed/>
    <w:rsid w:val="00643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917"/>
  </w:style>
  <w:style w:type="paragraph" w:styleId="BalloonText">
    <w:name w:val="Balloon Text"/>
    <w:basedOn w:val="Normal"/>
    <w:link w:val="BalloonTextChar"/>
    <w:uiPriority w:val="99"/>
    <w:semiHidden/>
    <w:unhideWhenUsed/>
    <w:rsid w:val="0064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17"/>
    <w:rPr>
      <w:rFonts w:ascii="Tahoma" w:hAnsi="Tahoma" w:cs="Tahoma"/>
      <w:sz w:val="16"/>
      <w:szCs w:val="16"/>
    </w:rPr>
  </w:style>
  <w:style w:type="paragraph" w:styleId="ListParagraph">
    <w:name w:val="List Paragraph"/>
    <w:basedOn w:val="Normal"/>
    <w:uiPriority w:val="34"/>
    <w:qFormat/>
    <w:rsid w:val="00643917"/>
    <w:pPr>
      <w:ind w:left="720"/>
      <w:contextualSpacing/>
    </w:pPr>
  </w:style>
  <w:style w:type="paragraph" w:styleId="NoSpacing">
    <w:name w:val="No Spacing"/>
    <w:uiPriority w:val="1"/>
    <w:qFormat/>
    <w:rsid w:val="007A52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9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917"/>
  </w:style>
  <w:style w:type="paragraph" w:styleId="Footer">
    <w:name w:val="footer"/>
    <w:basedOn w:val="Normal"/>
    <w:link w:val="FooterChar"/>
    <w:uiPriority w:val="99"/>
    <w:unhideWhenUsed/>
    <w:rsid w:val="006439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917"/>
  </w:style>
  <w:style w:type="paragraph" w:styleId="BalloonText">
    <w:name w:val="Balloon Text"/>
    <w:basedOn w:val="Normal"/>
    <w:link w:val="BalloonTextChar"/>
    <w:uiPriority w:val="99"/>
    <w:semiHidden/>
    <w:unhideWhenUsed/>
    <w:rsid w:val="0064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3917"/>
    <w:rPr>
      <w:rFonts w:ascii="Tahoma" w:hAnsi="Tahoma" w:cs="Tahoma"/>
      <w:sz w:val="16"/>
      <w:szCs w:val="16"/>
    </w:rPr>
  </w:style>
  <w:style w:type="paragraph" w:styleId="ListParagraph">
    <w:name w:val="List Paragraph"/>
    <w:basedOn w:val="Normal"/>
    <w:uiPriority w:val="34"/>
    <w:qFormat/>
    <w:rsid w:val="00643917"/>
    <w:pPr>
      <w:ind w:left="720"/>
      <w:contextualSpacing/>
    </w:pPr>
  </w:style>
  <w:style w:type="paragraph" w:styleId="NoSpacing">
    <w:name w:val="No Spacing"/>
    <w:uiPriority w:val="1"/>
    <w:qFormat/>
    <w:rsid w:val="007A52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0648AE4A64403799556B240EA800E5"/>
        <w:category>
          <w:name w:val="General"/>
          <w:gallery w:val="placeholder"/>
        </w:category>
        <w:types>
          <w:type w:val="bbPlcHdr"/>
        </w:types>
        <w:behaviors>
          <w:behavior w:val="content"/>
        </w:behaviors>
        <w:guid w:val="{D1AD79B5-51D3-4BD0-BD1D-224D59135281}"/>
      </w:docPartPr>
      <w:docPartBody>
        <w:p w:rsidR="00411F18" w:rsidRDefault="00742473" w:rsidP="00742473">
          <w:pPr>
            <w:pStyle w:val="F20648AE4A64403799556B240EA800E5"/>
          </w:pPr>
          <w:r>
            <w:rPr>
              <w:rFonts w:asciiTheme="majorHAnsi" w:eastAsiaTheme="majorEastAsia" w:hAnsiTheme="majorHAnsi" w:cstheme="majorBidi"/>
              <w:sz w:val="32"/>
              <w:szCs w:val="32"/>
            </w:rPr>
            <w:t>[Type the document title]</w:t>
          </w:r>
        </w:p>
      </w:docPartBody>
    </w:docPart>
    <w:docPart>
      <w:docPartPr>
        <w:name w:val="8180775C77EF49C9B9B7263E34CE2791"/>
        <w:category>
          <w:name w:val="General"/>
          <w:gallery w:val="placeholder"/>
        </w:category>
        <w:types>
          <w:type w:val="bbPlcHdr"/>
        </w:types>
        <w:behaviors>
          <w:behavior w:val="content"/>
        </w:behaviors>
        <w:guid w:val="{026CB2A4-B405-40C1-B184-1D33BD8BC2CA}"/>
      </w:docPartPr>
      <w:docPartBody>
        <w:p w:rsidR="00411F18" w:rsidRDefault="00742473" w:rsidP="00742473">
          <w:pPr>
            <w:pStyle w:val="8180775C77EF49C9B9B7263E34CE2791"/>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473"/>
    <w:rsid w:val="00411F18"/>
    <w:rsid w:val="005D41C7"/>
    <w:rsid w:val="00727F1F"/>
    <w:rsid w:val="00742473"/>
    <w:rsid w:val="00817B7B"/>
    <w:rsid w:val="00B7737F"/>
    <w:rsid w:val="00DF70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648AE4A64403799556B240EA800E5">
    <w:name w:val="F20648AE4A64403799556B240EA800E5"/>
    <w:rsid w:val="00742473"/>
  </w:style>
  <w:style w:type="paragraph" w:customStyle="1" w:styleId="8180775C77EF49C9B9B7263E34CE2791">
    <w:name w:val="8180775C77EF49C9B9B7263E34CE2791"/>
    <w:rsid w:val="0074247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648AE4A64403799556B240EA800E5">
    <w:name w:val="F20648AE4A64403799556B240EA800E5"/>
    <w:rsid w:val="00742473"/>
  </w:style>
  <w:style w:type="paragraph" w:customStyle="1" w:styleId="8180775C77EF49C9B9B7263E34CE2791">
    <w:name w:val="8180775C77EF49C9B9B7263E34CE2791"/>
    <w:rsid w:val="007424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NIGERIAN LEGAL SYSTEM II (NLS) [LPI 204] ASSIGNMENT</vt:lpstr>
    </vt:vector>
  </TitlesOfParts>
  <Company>Hewlett-Packard</Company>
  <LinksUpToDate>false</LinksUpToDate>
  <CharactersWithSpaces>8636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LEGAL SYSTEM II (NLS) [LPI 204] ASSIGNMENT</dc:title>
  <dc:creator>NCAA</dc:creator>
  <cp:lastModifiedBy>NCAA</cp:lastModifiedBy>
  <cp:revision>7</cp:revision>
  <dcterms:created xsi:type="dcterms:W3CDTF">2020-04-10T11:01:00Z</dcterms:created>
  <dcterms:modified xsi:type="dcterms:W3CDTF">2020-04-14T14:40:00Z</dcterms:modified>
</cp:coreProperties>
</file>