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8E" w:rsidRDefault="00402C8E" w:rsidP="004B1949">
      <w:pPr>
        <w:spacing w:line="480" w:lineRule="auto"/>
        <w:rPr>
          <w:rFonts w:ascii="Times New Roman" w:hAnsi="Times New Roman" w:cs="Times New Roman"/>
          <w:b/>
          <w:bCs/>
          <w:sz w:val="24"/>
          <w:szCs w:val="24"/>
        </w:rPr>
      </w:pPr>
      <w:r>
        <w:rPr>
          <w:rFonts w:ascii="Times New Roman" w:hAnsi="Times New Roman" w:cs="Times New Roman"/>
          <w:b/>
          <w:bCs/>
          <w:sz w:val="24"/>
          <w:szCs w:val="24"/>
        </w:rPr>
        <w:t>Inflation accounting</w:t>
      </w:r>
    </w:p>
    <w:p w:rsidR="00402C8E" w:rsidRPr="00402C8E" w:rsidRDefault="00402C8E" w:rsidP="004B1949">
      <w:pPr>
        <w:spacing w:line="480" w:lineRule="auto"/>
        <w:rPr>
          <w:rFonts w:ascii="Times New Roman" w:hAnsi="Times New Roman" w:cs="Times New Roman"/>
          <w:bCs/>
          <w:sz w:val="24"/>
          <w:szCs w:val="24"/>
        </w:rPr>
      </w:pPr>
      <w:r>
        <w:rPr>
          <w:rFonts w:ascii="Times New Roman" w:hAnsi="Times New Roman" w:cs="Times New Roman"/>
          <w:bCs/>
          <w:sz w:val="24"/>
          <w:szCs w:val="24"/>
        </w:rPr>
        <w:t>General inflation rate reflects the decrease in the purchasing power of a currency</w:t>
      </w:r>
      <w:r w:rsidR="007C09C4">
        <w:rPr>
          <w:rFonts w:ascii="Times New Roman" w:hAnsi="Times New Roman" w:cs="Times New Roman"/>
          <w:bCs/>
          <w:sz w:val="24"/>
          <w:szCs w:val="24"/>
        </w:rPr>
        <w:t>. Conventional accounting mixes attributes that are reflected in the asset section of the statement of financial position. During inflation, not all goods and services increase in price at the same rate even when there is an average inflation. Price of some assets may increase slight higher than others. Hence, reporting assets on the statement of financial position at historical cost during inflation might make the statement of financial position irrelevant.</w:t>
      </w:r>
    </w:p>
    <w:p w:rsidR="005A7893" w:rsidRDefault="005A7893" w:rsidP="004B1949">
      <w:pPr>
        <w:spacing w:line="480" w:lineRule="auto"/>
        <w:rPr>
          <w:rFonts w:ascii="Times New Roman" w:hAnsi="Times New Roman" w:cs="Times New Roman"/>
          <w:b/>
          <w:bCs/>
          <w:sz w:val="24"/>
          <w:szCs w:val="24"/>
        </w:rPr>
      </w:pPr>
      <w:r>
        <w:rPr>
          <w:rFonts w:ascii="Times New Roman" w:hAnsi="Times New Roman" w:cs="Times New Roman"/>
          <w:b/>
          <w:bCs/>
          <w:sz w:val="24"/>
          <w:szCs w:val="24"/>
        </w:rPr>
        <w:t>Impact of inflation on financial statements</w:t>
      </w:r>
    </w:p>
    <w:p w:rsidR="005A7893" w:rsidRPr="005A7893" w:rsidRDefault="005A7893" w:rsidP="004B1949">
      <w:pPr>
        <w:spacing w:line="480" w:lineRule="auto"/>
        <w:rPr>
          <w:rFonts w:ascii="Times New Roman" w:hAnsi="Times New Roman" w:cs="Times New Roman"/>
          <w:bCs/>
          <w:sz w:val="24"/>
          <w:szCs w:val="24"/>
        </w:rPr>
      </w:pPr>
      <w:r>
        <w:rPr>
          <w:rFonts w:ascii="Times New Roman" w:hAnsi="Times New Roman" w:cs="Times New Roman"/>
          <w:bCs/>
          <w:sz w:val="24"/>
          <w:szCs w:val="24"/>
        </w:rPr>
        <w:t>Historical costs are understated in terms of their current value during inflation period. If the changes in prices are ignored, some problems may arise. Such problems may be; understated asset values which lead to negative impact on a company’s ability to borrow; overstated income results in more taxes being paid and stockholders demanding a higher level of dividend than expected;</w:t>
      </w:r>
    </w:p>
    <w:p w:rsidR="00767649" w:rsidRDefault="00767649" w:rsidP="004B1949">
      <w:pPr>
        <w:spacing w:line="480" w:lineRule="auto"/>
        <w:rPr>
          <w:rFonts w:ascii="Times New Roman" w:hAnsi="Times New Roman" w:cs="Times New Roman"/>
          <w:b/>
          <w:bCs/>
          <w:sz w:val="24"/>
          <w:szCs w:val="24"/>
        </w:rPr>
      </w:pPr>
      <w:r>
        <w:rPr>
          <w:rFonts w:ascii="Times New Roman" w:hAnsi="Times New Roman" w:cs="Times New Roman"/>
          <w:b/>
          <w:bCs/>
          <w:sz w:val="24"/>
          <w:szCs w:val="24"/>
        </w:rPr>
        <w:t>Purchasing power gains and losses</w:t>
      </w:r>
    </w:p>
    <w:p w:rsidR="005A7893" w:rsidRPr="00402C8E" w:rsidRDefault="00402C8E" w:rsidP="004B1949">
      <w:pPr>
        <w:spacing w:line="480" w:lineRule="auto"/>
        <w:rPr>
          <w:rFonts w:ascii="Times New Roman" w:hAnsi="Times New Roman" w:cs="Times New Roman"/>
          <w:bCs/>
          <w:sz w:val="24"/>
          <w:szCs w:val="24"/>
        </w:rPr>
      </w:pPr>
      <w:r>
        <w:rPr>
          <w:rFonts w:ascii="Times New Roman" w:hAnsi="Times New Roman" w:cs="Times New Roman"/>
          <w:bCs/>
          <w:sz w:val="24"/>
          <w:szCs w:val="24"/>
        </w:rPr>
        <w:t>Ignoring changes in the value of nonmonetary assets, HC will ignore the purchasing power gains and losses that come from holding monetary assets and</w:t>
      </w:r>
      <w:r w:rsidR="007C09C4">
        <w:rPr>
          <w:rFonts w:ascii="Times New Roman" w:hAnsi="Times New Roman" w:cs="Times New Roman"/>
          <w:bCs/>
          <w:sz w:val="24"/>
          <w:szCs w:val="24"/>
        </w:rPr>
        <w:t xml:space="preserve"> monetary liabilities during inf</w:t>
      </w:r>
      <w:r>
        <w:rPr>
          <w:rFonts w:ascii="Times New Roman" w:hAnsi="Times New Roman" w:cs="Times New Roman"/>
          <w:bCs/>
          <w:sz w:val="24"/>
          <w:szCs w:val="24"/>
        </w:rPr>
        <w:t>lation.</w:t>
      </w:r>
    </w:p>
    <w:p w:rsidR="00DF236D" w:rsidRDefault="00C66A50" w:rsidP="004B1949">
      <w:pPr>
        <w:spacing w:line="480" w:lineRule="auto"/>
        <w:rPr>
          <w:rFonts w:ascii="Times New Roman" w:hAnsi="Times New Roman" w:cs="Times New Roman"/>
          <w:b/>
          <w:bCs/>
          <w:sz w:val="24"/>
          <w:szCs w:val="24"/>
        </w:rPr>
      </w:pPr>
      <w:r>
        <w:rPr>
          <w:rFonts w:ascii="Times New Roman" w:hAnsi="Times New Roman" w:cs="Times New Roman"/>
          <w:b/>
          <w:bCs/>
          <w:sz w:val="24"/>
          <w:szCs w:val="24"/>
        </w:rPr>
        <w:t>Methods of accounting for changing prices</w:t>
      </w:r>
    </w:p>
    <w:p w:rsidR="00C66A50" w:rsidRDefault="00C66A50" w:rsidP="004B1949">
      <w:pPr>
        <w:spacing w:line="480" w:lineRule="auto"/>
        <w:rPr>
          <w:rFonts w:ascii="Times New Roman" w:hAnsi="Times New Roman" w:cs="Times New Roman"/>
          <w:bCs/>
          <w:sz w:val="24"/>
          <w:szCs w:val="24"/>
        </w:rPr>
      </w:pPr>
      <w:r>
        <w:rPr>
          <w:rFonts w:ascii="Times New Roman" w:hAnsi="Times New Roman" w:cs="Times New Roman"/>
          <w:bCs/>
          <w:sz w:val="24"/>
          <w:szCs w:val="24"/>
        </w:rPr>
        <w:t>The following are ways of accounting for changing prices</w:t>
      </w:r>
    </w:p>
    <w:p w:rsidR="00C66A50" w:rsidRPr="00C66A50" w:rsidRDefault="00C66A50" w:rsidP="00C66A50">
      <w:pPr>
        <w:pStyle w:val="ListParagraph"/>
        <w:numPr>
          <w:ilvl w:val="0"/>
          <w:numId w:val="4"/>
        </w:numPr>
        <w:spacing w:line="480" w:lineRule="auto"/>
        <w:rPr>
          <w:rFonts w:ascii="Times New Roman" w:hAnsi="Times New Roman" w:cs="Times New Roman"/>
          <w:bCs/>
          <w:sz w:val="24"/>
          <w:szCs w:val="24"/>
        </w:rPr>
      </w:pPr>
      <w:r>
        <w:rPr>
          <w:rFonts w:ascii="Times New Roman" w:hAnsi="Times New Roman" w:cs="Times New Roman"/>
          <w:bCs/>
          <w:sz w:val="24"/>
          <w:szCs w:val="24"/>
        </w:rPr>
        <w:t>Historical cost</w:t>
      </w:r>
    </w:p>
    <w:p w:rsidR="00C66A50" w:rsidRPr="00C66A50" w:rsidRDefault="00C66A50" w:rsidP="00C66A50">
      <w:pPr>
        <w:pStyle w:val="ListParagraph"/>
        <w:numPr>
          <w:ilvl w:val="0"/>
          <w:numId w:val="4"/>
        </w:numPr>
        <w:spacing w:line="480" w:lineRule="auto"/>
        <w:rPr>
          <w:rFonts w:ascii="Times New Roman" w:hAnsi="Times New Roman" w:cs="Times New Roman"/>
          <w:bCs/>
          <w:sz w:val="24"/>
          <w:szCs w:val="24"/>
        </w:rPr>
      </w:pPr>
      <w:r w:rsidRPr="00C66A50">
        <w:rPr>
          <w:rFonts w:ascii="Times New Roman" w:hAnsi="Times New Roman" w:cs="Times New Roman"/>
          <w:bCs/>
          <w:sz w:val="24"/>
          <w:szCs w:val="24"/>
        </w:rPr>
        <w:t xml:space="preserve">General purchasing power accounting (GPP) </w:t>
      </w:r>
    </w:p>
    <w:p w:rsidR="00C66A50" w:rsidRPr="00C66A50" w:rsidRDefault="00C66A50" w:rsidP="00C66A50">
      <w:pPr>
        <w:pStyle w:val="ListParagraph"/>
        <w:numPr>
          <w:ilvl w:val="0"/>
          <w:numId w:val="4"/>
        </w:numPr>
        <w:spacing w:line="480" w:lineRule="auto"/>
        <w:rPr>
          <w:rFonts w:ascii="Times New Roman" w:hAnsi="Times New Roman" w:cs="Times New Roman"/>
          <w:bCs/>
          <w:sz w:val="24"/>
          <w:szCs w:val="24"/>
        </w:rPr>
      </w:pPr>
      <w:r w:rsidRPr="00C66A50">
        <w:rPr>
          <w:rFonts w:ascii="Times New Roman" w:hAnsi="Times New Roman" w:cs="Times New Roman"/>
          <w:bCs/>
          <w:sz w:val="24"/>
          <w:szCs w:val="24"/>
        </w:rPr>
        <w:lastRenderedPageBreak/>
        <w:t>Current replacement cost.</w:t>
      </w:r>
    </w:p>
    <w:p w:rsidR="00DF236D" w:rsidRDefault="00C66A50" w:rsidP="004B1949">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Net income and capital maintenance </w:t>
      </w:r>
    </w:p>
    <w:p w:rsidR="00C66A50" w:rsidRPr="00C66A50" w:rsidRDefault="00767649" w:rsidP="004B1949">
      <w:pPr>
        <w:spacing w:line="480" w:lineRule="auto"/>
        <w:rPr>
          <w:rFonts w:ascii="Times New Roman" w:hAnsi="Times New Roman" w:cs="Times New Roman"/>
          <w:bCs/>
          <w:sz w:val="24"/>
          <w:szCs w:val="24"/>
        </w:rPr>
      </w:pPr>
      <w:r>
        <w:rPr>
          <w:rFonts w:ascii="Times New Roman" w:hAnsi="Times New Roman" w:cs="Times New Roman"/>
          <w:bCs/>
          <w:sz w:val="24"/>
          <w:szCs w:val="24"/>
        </w:rPr>
        <w:t>Applying any of the methods will result in different amount of net income. This is because each method measures their net income with a different concept of capital maintenance.</w:t>
      </w:r>
    </w:p>
    <w:p w:rsidR="00DF236D" w:rsidRDefault="00DF236D" w:rsidP="004B1949">
      <w:pPr>
        <w:spacing w:line="480" w:lineRule="auto"/>
        <w:rPr>
          <w:rFonts w:ascii="Times New Roman" w:hAnsi="Times New Roman" w:cs="Times New Roman"/>
          <w:b/>
          <w:bCs/>
          <w:sz w:val="24"/>
          <w:szCs w:val="24"/>
        </w:rPr>
      </w:pPr>
      <w:r w:rsidRPr="004B1949">
        <w:rPr>
          <w:rFonts w:ascii="Times New Roman" w:hAnsi="Times New Roman" w:cs="Times New Roman"/>
          <w:b/>
          <w:bCs/>
          <w:sz w:val="24"/>
          <w:szCs w:val="24"/>
        </w:rPr>
        <w:t>General Purchasing Power (GPP) Accounting</w:t>
      </w:r>
    </w:p>
    <w:p w:rsidR="004B1949" w:rsidRPr="004B1949" w:rsidRDefault="004B1949" w:rsidP="004B1949">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Here, </w:t>
      </w:r>
      <w:proofErr w:type="spellStart"/>
      <w:r>
        <w:rPr>
          <w:rFonts w:ascii="Times New Roman" w:hAnsi="Times New Roman" w:cs="Times New Roman"/>
          <w:bCs/>
          <w:sz w:val="24"/>
          <w:szCs w:val="24"/>
        </w:rPr>
        <w:t>nommonetary</w:t>
      </w:r>
      <w:proofErr w:type="spellEnd"/>
      <w:r>
        <w:rPr>
          <w:rFonts w:ascii="Times New Roman" w:hAnsi="Times New Roman" w:cs="Times New Roman"/>
          <w:bCs/>
          <w:sz w:val="24"/>
          <w:szCs w:val="24"/>
        </w:rPr>
        <w:t xml:space="preserve"> assets and liabilities, stockholders’ equity, and income statements are restated form the GPI at the transaction date to the GPI at the end of the current period.</w:t>
      </w:r>
      <w:r w:rsidR="007C09C4">
        <w:rPr>
          <w:rFonts w:ascii="Times New Roman" w:hAnsi="Times New Roman" w:cs="Times New Roman"/>
          <w:bCs/>
          <w:sz w:val="24"/>
          <w:szCs w:val="24"/>
        </w:rPr>
        <w:t xml:space="preserve"> Assuming inventory acquired beginning of the</w:t>
      </w:r>
      <w:r w:rsidR="001407AB">
        <w:rPr>
          <w:rFonts w:ascii="Times New Roman" w:hAnsi="Times New Roman" w:cs="Times New Roman"/>
          <w:bCs/>
          <w:sz w:val="24"/>
          <w:szCs w:val="24"/>
        </w:rPr>
        <w:t xml:space="preserve"> year when the GPI is 100 and the GPI at the end of the year is 120, the inventory is restated using the ratio 120/100. Non-current assets and intangible assets and their related depreciation and amortization would also be restated for changes in general purchasing power.</w:t>
      </w:r>
    </w:p>
    <w:p w:rsidR="00440D7C" w:rsidRDefault="00DF236D" w:rsidP="004B1949">
      <w:pPr>
        <w:spacing w:line="480" w:lineRule="auto"/>
        <w:rPr>
          <w:rFonts w:ascii="Times New Roman" w:hAnsi="Times New Roman" w:cs="Times New Roman"/>
          <w:b/>
          <w:bCs/>
          <w:sz w:val="24"/>
          <w:szCs w:val="24"/>
        </w:rPr>
      </w:pPr>
      <w:r w:rsidRPr="004B1949">
        <w:rPr>
          <w:rFonts w:ascii="Times New Roman" w:hAnsi="Times New Roman" w:cs="Times New Roman"/>
          <w:b/>
          <w:bCs/>
          <w:sz w:val="24"/>
          <w:szCs w:val="24"/>
        </w:rPr>
        <w:t>Current Cost (CC) Accounting</w:t>
      </w:r>
    </w:p>
    <w:p w:rsidR="004B1949" w:rsidRDefault="004B1949" w:rsidP="004B1949">
      <w:pPr>
        <w:spacing w:line="480" w:lineRule="auto"/>
        <w:rPr>
          <w:rFonts w:ascii="Times New Roman" w:hAnsi="Times New Roman" w:cs="Times New Roman"/>
          <w:bCs/>
          <w:sz w:val="24"/>
          <w:szCs w:val="24"/>
        </w:rPr>
      </w:pPr>
      <w:r>
        <w:rPr>
          <w:rFonts w:ascii="Times New Roman" w:hAnsi="Times New Roman" w:cs="Times New Roman"/>
          <w:bCs/>
          <w:sz w:val="24"/>
          <w:szCs w:val="24"/>
        </w:rPr>
        <w:t>This is applied to determine the amount of income that can be shared to owners and keeping the company’s productive capacity. Here, historical costs of nonmonetary assets are replaced with current replacement costs and expenses are based on these costs.</w:t>
      </w:r>
    </w:p>
    <w:p w:rsidR="004B1949" w:rsidRPr="004B1949" w:rsidRDefault="004B1949" w:rsidP="004B1949">
      <w:pPr>
        <w:spacing w:line="480" w:lineRule="auto"/>
        <w:rPr>
          <w:rFonts w:ascii="Times New Roman" w:hAnsi="Times New Roman" w:cs="Times New Roman"/>
          <w:sz w:val="24"/>
          <w:szCs w:val="24"/>
        </w:rPr>
      </w:pPr>
      <w:r>
        <w:rPr>
          <w:rFonts w:ascii="Times New Roman" w:hAnsi="Times New Roman" w:cs="Times New Roman"/>
          <w:bCs/>
          <w:sz w:val="24"/>
          <w:szCs w:val="24"/>
        </w:rPr>
        <w:t>If historical cost accounting is used as the basis for taxation and dividend distribution</w:t>
      </w:r>
      <w:r w:rsidR="00C66A50">
        <w:rPr>
          <w:rFonts w:ascii="Times New Roman" w:hAnsi="Times New Roman" w:cs="Times New Roman"/>
          <w:bCs/>
          <w:sz w:val="24"/>
          <w:szCs w:val="24"/>
        </w:rPr>
        <w:t>, probability that the company will not be as well of at the end of the year in productive capacity and purchasing power as it was in the beginning of the year is high.</w:t>
      </w:r>
    </w:p>
    <w:sectPr w:rsidR="004B1949" w:rsidRPr="004B1949" w:rsidSect="00440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B73"/>
    <w:multiLevelType w:val="hybridMultilevel"/>
    <w:tmpl w:val="7DDC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002F8"/>
    <w:multiLevelType w:val="hybridMultilevel"/>
    <w:tmpl w:val="0D9A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A69CD"/>
    <w:multiLevelType w:val="hybridMultilevel"/>
    <w:tmpl w:val="55200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65053"/>
    <w:multiLevelType w:val="hybridMultilevel"/>
    <w:tmpl w:val="551C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36D"/>
    <w:rsid w:val="001407AB"/>
    <w:rsid w:val="00402C8E"/>
    <w:rsid w:val="00440D7C"/>
    <w:rsid w:val="004B1949"/>
    <w:rsid w:val="005A7893"/>
    <w:rsid w:val="00767649"/>
    <w:rsid w:val="007C09C4"/>
    <w:rsid w:val="00C66A50"/>
    <w:rsid w:val="00DF2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A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2020-04-14T10:18:00Z</dcterms:created>
  <dcterms:modified xsi:type="dcterms:W3CDTF">2020-04-14T20:52:00Z</dcterms:modified>
</cp:coreProperties>
</file>