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C2" w:rsidRDefault="00FA51C2">
      <w:pPr>
        <w:rPr>
          <w:b/>
          <w:bCs/>
          <w:sz w:val="32"/>
          <w:szCs w:val="32"/>
        </w:rPr>
      </w:pPr>
      <w:r>
        <w:rPr>
          <w:b/>
          <w:bCs/>
          <w:sz w:val="32"/>
          <w:szCs w:val="32"/>
        </w:rPr>
        <w:t xml:space="preserve">NAME:  OKPA UDOCHUKWU KALU </w:t>
      </w:r>
    </w:p>
    <w:p w:rsidR="00FA51C2" w:rsidRDefault="00FA51C2">
      <w:pPr>
        <w:rPr>
          <w:b/>
          <w:bCs/>
          <w:sz w:val="32"/>
          <w:szCs w:val="32"/>
        </w:rPr>
      </w:pPr>
      <w:r>
        <w:rPr>
          <w:b/>
          <w:bCs/>
          <w:sz w:val="32"/>
          <w:szCs w:val="32"/>
        </w:rPr>
        <w:t>MATRIC NO: 19/LAW01/197</w:t>
      </w:r>
    </w:p>
    <w:p w:rsidR="00FA51C2" w:rsidRDefault="00B41517">
      <w:pPr>
        <w:rPr>
          <w:b/>
          <w:bCs/>
          <w:sz w:val="32"/>
          <w:szCs w:val="32"/>
        </w:rPr>
      </w:pPr>
      <w:r>
        <w:rPr>
          <w:b/>
          <w:bCs/>
          <w:sz w:val="32"/>
          <w:szCs w:val="32"/>
        </w:rPr>
        <w:t xml:space="preserve">COURSE CODE: </w:t>
      </w:r>
      <w:r w:rsidR="003842FD">
        <w:rPr>
          <w:b/>
          <w:bCs/>
          <w:sz w:val="32"/>
          <w:szCs w:val="32"/>
        </w:rPr>
        <w:t xml:space="preserve">LAW </w:t>
      </w:r>
      <w:r w:rsidR="0014783D">
        <w:rPr>
          <w:b/>
          <w:bCs/>
          <w:sz w:val="32"/>
          <w:szCs w:val="32"/>
        </w:rPr>
        <w:t>102</w:t>
      </w:r>
    </w:p>
    <w:p w:rsidR="0014783D" w:rsidRDefault="00483295">
      <w:pPr>
        <w:rPr>
          <w:b/>
          <w:bCs/>
          <w:sz w:val="32"/>
          <w:szCs w:val="32"/>
        </w:rPr>
      </w:pPr>
      <w:r>
        <w:rPr>
          <w:b/>
          <w:bCs/>
          <w:sz w:val="32"/>
          <w:szCs w:val="32"/>
        </w:rPr>
        <w:t xml:space="preserve">COURSE TITLE: LEGAL METHOD </w:t>
      </w:r>
      <w:r w:rsidR="0056736C">
        <w:rPr>
          <w:b/>
          <w:bCs/>
          <w:sz w:val="32"/>
          <w:szCs w:val="32"/>
        </w:rPr>
        <w:t>II</w:t>
      </w:r>
    </w:p>
    <w:p w:rsidR="0056736C" w:rsidRDefault="0056736C">
      <w:pPr>
        <w:rPr>
          <w:b/>
          <w:bCs/>
          <w:sz w:val="32"/>
          <w:szCs w:val="32"/>
        </w:rPr>
      </w:pPr>
    </w:p>
    <w:p w:rsidR="00916021" w:rsidRDefault="00916021">
      <w:pPr>
        <w:rPr>
          <w:b/>
          <w:bCs/>
          <w:sz w:val="32"/>
          <w:szCs w:val="32"/>
        </w:rPr>
      </w:pPr>
    </w:p>
    <w:p w:rsidR="00916021" w:rsidRPr="008A30BF" w:rsidRDefault="008A30BF">
      <w:pPr>
        <w:rPr>
          <w:b/>
          <w:bCs/>
          <w:sz w:val="32"/>
          <w:szCs w:val="32"/>
        </w:rPr>
      </w:pPr>
      <w:r>
        <w:rPr>
          <w:b/>
          <w:bCs/>
          <w:sz w:val="32"/>
          <w:szCs w:val="32"/>
        </w:rPr>
        <w:t>SECONDARY SOURCES OF LAW</w:t>
      </w:r>
    </w:p>
    <w:p w:rsidR="00522DB1" w:rsidRDefault="00522DB1" w:rsidP="00522DB1">
      <w:pPr>
        <w:rPr>
          <w:rFonts w:ascii="Helvetica" w:hAnsi="Helvetica"/>
          <w:b/>
          <w:bCs/>
          <w:color w:val="555555"/>
          <w:sz w:val="32"/>
          <w:szCs w:val="32"/>
          <w:u w:val="single"/>
        </w:rPr>
      </w:pPr>
    </w:p>
    <w:p w:rsidR="00C8689F" w:rsidRPr="00522DB1" w:rsidRDefault="00C8689F" w:rsidP="00522DB1">
      <w:pPr>
        <w:rPr>
          <w:b/>
          <w:bCs/>
          <w:sz w:val="32"/>
          <w:szCs w:val="32"/>
        </w:rPr>
      </w:pPr>
      <w:r w:rsidRPr="00522DB1">
        <w:rPr>
          <w:rFonts w:ascii="Helvetica" w:hAnsi="Helvetica"/>
          <w:b/>
          <w:bCs/>
          <w:color w:val="555555"/>
          <w:sz w:val="32"/>
          <w:szCs w:val="32"/>
          <w:u w:val="single"/>
        </w:rPr>
        <w:t>Secondary sources include:</w:t>
      </w:r>
    </w:p>
    <w:p w:rsidR="00C8689F" w:rsidRDefault="00C8689F" w:rsidP="00C8689F">
      <w:pPr>
        <w:numPr>
          <w:ilvl w:val="0"/>
          <w:numId w:val="2"/>
        </w:numPr>
        <w:shd w:val="clear" w:color="auto" w:fill="FFFFFF"/>
        <w:spacing w:before="100" w:beforeAutospacing="1" w:after="150" w:line="240" w:lineRule="auto"/>
        <w:divId w:val="846869997"/>
        <w:rPr>
          <w:rFonts w:ascii="Helvetica" w:eastAsia="Times New Roman" w:hAnsi="Helvetica"/>
          <w:color w:val="555555"/>
          <w:sz w:val="27"/>
          <w:szCs w:val="27"/>
        </w:rPr>
      </w:pPr>
      <w:r>
        <w:rPr>
          <w:rFonts w:ascii="Helvetica" w:eastAsia="Times New Roman" w:hAnsi="Helvetica"/>
          <w:color w:val="555555"/>
          <w:sz w:val="27"/>
          <w:szCs w:val="27"/>
        </w:rPr>
        <w:t>Legal encyclopedias</w:t>
      </w:r>
    </w:p>
    <w:p w:rsidR="00C8689F" w:rsidRDefault="000916E9" w:rsidP="00C8689F">
      <w:pPr>
        <w:numPr>
          <w:ilvl w:val="0"/>
          <w:numId w:val="2"/>
        </w:numPr>
        <w:shd w:val="clear" w:color="auto" w:fill="FFFFFF"/>
        <w:spacing w:before="100" w:beforeAutospacing="1" w:after="150" w:line="240" w:lineRule="auto"/>
        <w:divId w:val="846869997"/>
        <w:rPr>
          <w:rFonts w:ascii="Helvetica" w:eastAsia="Times New Roman" w:hAnsi="Helvetica"/>
          <w:color w:val="555555"/>
          <w:sz w:val="27"/>
          <w:szCs w:val="27"/>
        </w:rPr>
      </w:pPr>
      <w:r>
        <w:rPr>
          <w:rFonts w:ascii="Helvetica" w:eastAsia="Times New Roman" w:hAnsi="Helvetica"/>
          <w:color w:val="555555"/>
          <w:sz w:val="27"/>
          <w:szCs w:val="27"/>
        </w:rPr>
        <w:t>Case book</w:t>
      </w:r>
    </w:p>
    <w:p w:rsidR="00C8689F" w:rsidRDefault="00C8689F" w:rsidP="00C8689F">
      <w:pPr>
        <w:numPr>
          <w:ilvl w:val="0"/>
          <w:numId w:val="2"/>
        </w:numPr>
        <w:shd w:val="clear" w:color="auto" w:fill="FFFFFF"/>
        <w:spacing w:before="100" w:beforeAutospacing="1" w:after="150" w:line="240" w:lineRule="auto"/>
        <w:divId w:val="846869997"/>
        <w:rPr>
          <w:rFonts w:ascii="Helvetica" w:eastAsia="Times New Roman" w:hAnsi="Helvetica"/>
          <w:color w:val="555555"/>
          <w:sz w:val="27"/>
          <w:szCs w:val="27"/>
        </w:rPr>
      </w:pPr>
      <w:r>
        <w:rPr>
          <w:rFonts w:ascii="Helvetica" w:eastAsia="Times New Roman" w:hAnsi="Helvetica"/>
          <w:color w:val="555555"/>
          <w:sz w:val="27"/>
          <w:szCs w:val="27"/>
        </w:rPr>
        <w:t>Treatises</w:t>
      </w:r>
    </w:p>
    <w:p w:rsidR="00C8689F" w:rsidRDefault="00C8689F" w:rsidP="00C8689F">
      <w:pPr>
        <w:numPr>
          <w:ilvl w:val="0"/>
          <w:numId w:val="2"/>
        </w:numPr>
        <w:shd w:val="clear" w:color="auto" w:fill="FFFFFF"/>
        <w:spacing w:before="100" w:beforeAutospacing="1" w:after="150" w:line="240" w:lineRule="auto"/>
        <w:divId w:val="846869997"/>
        <w:rPr>
          <w:rFonts w:ascii="Helvetica" w:eastAsia="Times New Roman" w:hAnsi="Helvetica"/>
          <w:color w:val="555555"/>
          <w:sz w:val="27"/>
          <w:szCs w:val="27"/>
        </w:rPr>
      </w:pPr>
      <w:r>
        <w:rPr>
          <w:rFonts w:ascii="Helvetica" w:eastAsia="Times New Roman" w:hAnsi="Helvetica"/>
          <w:color w:val="555555"/>
          <w:sz w:val="27"/>
          <w:szCs w:val="27"/>
        </w:rPr>
        <w:t>Law journals</w:t>
      </w:r>
    </w:p>
    <w:p w:rsidR="00C8689F" w:rsidRDefault="00C8689F" w:rsidP="00C8689F">
      <w:pPr>
        <w:numPr>
          <w:ilvl w:val="0"/>
          <w:numId w:val="2"/>
        </w:numPr>
        <w:shd w:val="clear" w:color="auto" w:fill="FFFFFF"/>
        <w:spacing w:before="100" w:beforeAutospacing="1" w:after="150" w:line="240" w:lineRule="auto"/>
        <w:divId w:val="846869997"/>
        <w:rPr>
          <w:rFonts w:ascii="Helvetica" w:eastAsia="Times New Roman" w:hAnsi="Helvetica"/>
          <w:color w:val="555555"/>
          <w:sz w:val="27"/>
          <w:szCs w:val="27"/>
        </w:rPr>
      </w:pPr>
      <w:r>
        <w:rPr>
          <w:rFonts w:ascii="Helvetica" w:eastAsia="Times New Roman" w:hAnsi="Helvetica"/>
          <w:color w:val="555555"/>
          <w:sz w:val="27"/>
          <w:szCs w:val="27"/>
        </w:rPr>
        <w:t>Restatements</w:t>
      </w:r>
    </w:p>
    <w:p w:rsidR="001760A9" w:rsidRDefault="001760A9" w:rsidP="001760A9">
      <w:pPr>
        <w:shd w:val="clear" w:color="auto" w:fill="FFFFFF"/>
        <w:spacing w:before="100" w:beforeAutospacing="1" w:after="150" w:line="240" w:lineRule="auto"/>
        <w:divId w:val="846869997"/>
        <w:rPr>
          <w:rFonts w:ascii="Helvetica" w:eastAsia="Times New Roman" w:hAnsi="Helvetica"/>
          <w:b/>
          <w:bCs/>
          <w:color w:val="555555"/>
          <w:sz w:val="27"/>
          <w:szCs w:val="27"/>
        </w:rPr>
      </w:pPr>
    </w:p>
    <w:p w:rsidR="00B203DF" w:rsidRDefault="001760A9" w:rsidP="001760A9">
      <w:pPr>
        <w:shd w:val="clear" w:color="auto" w:fill="FFFFFF"/>
        <w:spacing w:before="100" w:beforeAutospacing="1" w:after="150" w:line="240" w:lineRule="auto"/>
        <w:divId w:val="846869997"/>
        <w:rPr>
          <w:rFonts w:ascii="Helvetica" w:eastAsia="Times New Roman" w:hAnsi="Helvetica"/>
          <w:b/>
          <w:bCs/>
          <w:color w:val="555555"/>
          <w:sz w:val="27"/>
          <w:szCs w:val="27"/>
        </w:rPr>
      </w:pPr>
      <w:r>
        <w:rPr>
          <w:rFonts w:ascii="Helvetica" w:eastAsia="Times New Roman" w:hAnsi="Helvetica"/>
          <w:b/>
          <w:bCs/>
          <w:color w:val="555555"/>
          <w:sz w:val="27"/>
          <w:szCs w:val="27"/>
        </w:rPr>
        <w:t>Legal encyclopedias:</w:t>
      </w:r>
    </w:p>
    <w:p w:rsidR="003C7802" w:rsidRDefault="003C7802">
      <w:pPr>
        <w:pStyle w:val="Heading2"/>
        <w:shd w:val="clear" w:color="auto" w:fill="FFFFFF"/>
        <w:spacing w:before="0"/>
        <w:divId w:val="1516458569"/>
        <w:rPr>
          <w:rFonts w:ascii="Roboto" w:eastAsia="Times New Roman" w:hAnsi="Roboto"/>
          <w:color w:val="444444"/>
          <w:sz w:val="27"/>
          <w:szCs w:val="27"/>
        </w:rPr>
      </w:pPr>
    </w:p>
    <w:p w:rsidR="003C7802" w:rsidRDefault="003C7802" w:rsidP="00EB3F77">
      <w:pPr>
        <w:pStyle w:val="NormalWeb"/>
        <w:numPr>
          <w:ilvl w:val="0"/>
          <w:numId w:val="3"/>
        </w:numPr>
        <w:spacing w:before="0" w:beforeAutospacing="0" w:after="375" w:afterAutospacing="0" w:line="384" w:lineRule="atLeast"/>
        <w:divId w:val="1317146991"/>
        <w:rPr>
          <w:rFonts w:ascii="Helvetica" w:hAnsi="Helvetica"/>
          <w:color w:val="555555"/>
          <w:sz w:val="27"/>
          <w:szCs w:val="27"/>
        </w:rPr>
      </w:pPr>
      <w:r>
        <w:rPr>
          <w:rFonts w:ascii="Helvetica" w:hAnsi="Helvetica"/>
          <w:color w:val="555555"/>
          <w:sz w:val="27"/>
          <w:szCs w:val="27"/>
        </w:rPr>
        <w:t>Legal encyclopedias contain brief, broad summaries of legal topics, providing introductions to legal topics and explaining relevant terms of art. They also provide citations to relevant primary law and sometimes give citations to relevant major law review articles.  Here are the two major national encyclopedias:</w:t>
      </w:r>
    </w:p>
    <w:p w:rsidR="003C7802" w:rsidRDefault="003C7802" w:rsidP="003C7802">
      <w:pPr>
        <w:numPr>
          <w:ilvl w:val="0"/>
          <w:numId w:val="3"/>
        </w:numPr>
        <w:spacing w:before="100" w:beforeAutospacing="1" w:after="150" w:line="384" w:lineRule="atLeast"/>
        <w:divId w:val="1659772767"/>
        <w:rPr>
          <w:rFonts w:ascii="Helvetica" w:eastAsia="Times New Roman" w:hAnsi="Helvetica"/>
          <w:color w:val="555555"/>
          <w:sz w:val="27"/>
          <w:szCs w:val="27"/>
        </w:rPr>
      </w:pPr>
      <w:hyperlink r:id="rId5" w:history="1">
        <w:r>
          <w:rPr>
            <w:rStyle w:val="Hyperlink"/>
            <w:rFonts w:ascii="Helvetica" w:eastAsia="Times New Roman" w:hAnsi="Helvetica"/>
            <w:color w:val="A51C30"/>
            <w:sz w:val="27"/>
            <w:szCs w:val="27"/>
            <w:u w:val="none"/>
          </w:rPr>
          <w:t>American Jurisprudence 2d (AmJur)</w:t>
        </w:r>
      </w:hyperlink>
    </w:p>
    <w:p w:rsidR="003C7802" w:rsidRDefault="003C7802">
      <w:pPr>
        <w:spacing w:before="100" w:beforeAutospacing="1" w:after="150" w:line="384" w:lineRule="atLeast"/>
        <w:ind w:left="720"/>
        <w:divId w:val="2135977464"/>
        <w:rPr>
          <w:rFonts w:ascii="Helvetica" w:eastAsia="Times New Roman" w:hAnsi="Helvetica"/>
          <w:color w:val="555555"/>
          <w:sz w:val="27"/>
          <w:szCs w:val="27"/>
        </w:rPr>
      </w:pPr>
      <w:r>
        <w:rPr>
          <w:rFonts w:ascii="Helvetica" w:eastAsia="Times New Roman" w:hAnsi="Helvetica"/>
          <w:color w:val="555555"/>
          <w:sz w:val="27"/>
          <w:szCs w:val="27"/>
        </w:rPr>
        <w:lastRenderedPageBreak/>
        <w:t>This link provides access to the Table of Contents for AmJur using Westlaw. Print volumes are located at KF 154.A42. Topical indexes are located in the last volume of every topic.</w:t>
      </w:r>
    </w:p>
    <w:p w:rsidR="003C7802" w:rsidRDefault="003C7802" w:rsidP="003C7802">
      <w:pPr>
        <w:numPr>
          <w:ilvl w:val="0"/>
          <w:numId w:val="3"/>
        </w:numPr>
        <w:spacing w:before="100" w:beforeAutospacing="1" w:after="150" w:line="384" w:lineRule="atLeast"/>
        <w:divId w:val="868026861"/>
        <w:rPr>
          <w:rFonts w:ascii="Helvetica" w:eastAsia="Times New Roman" w:hAnsi="Helvetica"/>
          <w:color w:val="555555"/>
          <w:sz w:val="27"/>
          <w:szCs w:val="27"/>
        </w:rPr>
      </w:pPr>
      <w:hyperlink r:id="rId6" w:history="1">
        <w:r>
          <w:rPr>
            <w:rStyle w:val="Hyperlink"/>
            <w:rFonts w:ascii="Helvetica" w:eastAsia="Times New Roman" w:hAnsi="Helvetica"/>
            <w:color w:val="B42A4C"/>
            <w:sz w:val="27"/>
            <w:szCs w:val="27"/>
            <w:u w:val="none"/>
          </w:rPr>
          <w:t>Corpus Juris Secundum (CJS)</w:t>
        </w:r>
      </w:hyperlink>
    </w:p>
    <w:p w:rsidR="000B19E6" w:rsidRDefault="003C7802" w:rsidP="000B19E6">
      <w:pPr>
        <w:spacing w:before="100" w:beforeAutospacing="1" w:after="150" w:line="384" w:lineRule="atLeast"/>
        <w:ind w:left="720"/>
        <w:divId w:val="378625078"/>
        <w:rPr>
          <w:rFonts w:ascii="Helvetica" w:eastAsia="Times New Roman" w:hAnsi="Helvetica"/>
          <w:color w:val="555555"/>
          <w:sz w:val="27"/>
          <w:szCs w:val="27"/>
        </w:rPr>
      </w:pPr>
      <w:r>
        <w:rPr>
          <w:rFonts w:ascii="Helvetica" w:eastAsia="Times New Roman" w:hAnsi="Helvetica"/>
          <w:color w:val="555555"/>
          <w:sz w:val="27"/>
          <w:szCs w:val="27"/>
        </w:rPr>
        <w:t>This link provides access to the Table of Contents for CJS using Westlaw. Print volumes are located at KF 154.C56. There are indexes for each major topic.</w:t>
      </w:r>
    </w:p>
    <w:p w:rsidR="000B19E6" w:rsidRPr="000B19E6" w:rsidRDefault="000B19E6" w:rsidP="00C64180">
      <w:pPr>
        <w:spacing w:before="100" w:beforeAutospacing="1" w:after="150" w:line="384" w:lineRule="atLeast"/>
        <w:divId w:val="378625078"/>
        <w:rPr>
          <w:rFonts w:ascii="Helvetica" w:eastAsia="Times New Roman" w:hAnsi="Helvetica"/>
          <w:color w:val="555555"/>
          <w:sz w:val="27"/>
          <w:szCs w:val="27"/>
        </w:rPr>
      </w:pPr>
      <w:r>
        <w:rPr>
          <w:rFonts w:ascii="Roboto" w:hAnsi="Roboto"/>
          <w:b/>
          <w:bCs/>
          <w:color w:val="222222"/>
        </w:rPr>
        <w:t>CASEBOOK</w:t>
      </w:r>
      <w:r w:rsidR="00C64180">
        <w:rPr>
          <w:rFonts w:ascii="Roboto" w:hAnsi="Roboto"/>
          <w:b/>
          <w:bCs/>
          <w:color w:val="222222"/>
        </w:rPr>
        <w:t>:</w:t>
      </w:r>
    </w:p>
    <w:p w:rsidR="000B19E6" w:rsidRDefault="000B19E6">
      <w:pPr>
        <w:pStyle w:val="NormalWeb"/>
        <w:shd w:val="clear" w:color="auto" w:fill="FFFFFF"/>
        <w:spacing w:before="0" w:beforeAutospacing="0" w:after="0" w:afterAutospacing="0"/>
        <w:textAlignment w:val="baseline"/>
        <w:divId w:val="169024749"/>
        <w:rPr>
          <w:rFonts w:ascii="Roboto" w:hAnsi="Roboto"/>
          <w:color w:val="222222"/>
        </w:rPr>
      </w:pPr>
      <w:r>
        <w:rPr>
          <w:rFonts w:ascii="Roboto" w:hAnsi="Roboto"/>
          <w:color w:val="222222"/>
        </w:rPr>
        <w:t>A </w:t>
      </w:r>
      <w:r>
        <w:rPr>
          <w:rFonts w:ascii="inherit" w:hAnsi="inherit"/>
          <w:b/>
          <w:bCs/>
          <w:color w:val="222222"/>
          <w:bdr w:val="none" w:sz="0" w:space="0" w:color="auto" w:frame="1"/>
        </w:rPr>
        <w:t>casebook</w:t>
      </w:r>
      <w:r>
        <w:rPr>
          <w:rFonts w:ascii="Roboto" w:hAnsi="Roboto"/>
          <w:color w:val="222222"/>
        </w:rPr>
        <w:t> is a type of </w:t>
      </w:r>
      <w:r w:rsidRPr="00C64180">
        <w:rPr>
          <w:rFonts w:ascii="inherit" w:hAnsi="inherit"/>
          <w:color w:val="222222"/>
          <w:bdr w:val="none" w:sz="0" w:space="0" w:color="auto" w:frame="1"/>
        </w:rPr>
        <w:t>textbook</w:t>
      </w:r>
      <w:r>
        <w:rPr>
          <w:rFonts w:ascii="Roboto" w:hAnsi="Roboto"/>
          <w:color w:val="222222"/>
        </w:rPr>
        <w:t> used primarily by students in </w:t>
      </w:r>
      <w:r w:rsidRPr="00C64180">
        <w:rPr>
          <w:rFonts w:ascii="inherit" w:hAnsi="inherit"/>
          <w:color w:val="222222"/>
          <w:bdr w:val="none" w:sz="0" w:space="0" w:color="auto" w:frame="1"/>
        </w:rPr>
        <w:t>law schools</w:t>
      </w:r>
      <w:r>
        <w:rPr>
          <w:rFonts w:ascii="Roboto" w:hAnsi="Roboto"/>
          <w:color w:val="222222"/>
        </w:rPr>
        <w:t>.</w:t>
      </w:r>
      <w:hyperlink r:id="rId7" w:anchor="cite_note-ah83-1" w:history="1">
        <w:r>
          <w:rPr>
            <w:rStyle w:val="Hyperlink"/>
            <w:rFonts w:ascii="inherit" w:hAnsi="inherit"/>
            <w:color w:val="6B4BA1"/>
            <w:sz w:val="18"/>
            <w:szCs w:val="18"/>
            <w:bdr w:val="none" w:sz="0" w:space="0" w:color="auto" w:frame="1"/>
          </w:rPr>
          <w:t>[1]</w:t>
        </w:r>
      </w:hyperlink>
      <w:r>
        <w:rPr>
          <w:rFonts w:ascii="Roboto" w:hAnsi="Roboto"/>
          <w:color w:val="222222"/>
        </w:rPr>
        <w:t> Rather than simply laying out the </w:t>
      </w:r>
      <w:r w:rsidRPr="000F4881">
        <w:rPr>
          <w:rFonts w:ascii="inherit" w:hAnsi="inherit"/>
          <w:color w:val="222222"/>
          <w:bdr w:val="none" w:sz="0" w:space="0" w:color="auto" w:frame="1"/>
        </w:rPr>
        <w:t>legal doctrine</w:t>
      </w:r>
      <w:r>
        <w:rPr>
          <w:rFonts w:ascii="Roboto" w:hAnsi="Roboto"/>
          <w:color w:val="222222"/>
        </w:rPr>
        <w:t> in a particular area of study, a casebook contains excerpts from </w:t>
      </w:r>
      <w:r w:rsidRPr="000F4881">
        <w:rPr>
          <w:rFonts w:ascii="inherit" w:hAnsi="inherit"/>
          <w:color w:val="222222"/>
          <w:bdr w:val="none" w:sz="0" w:space="0" w:color="auto" w:frame="1"/>
        </w:rPr>
        <w:t>legal cases</w:t>
      </w:r>
      <w:r>
        <w:rPr>
          <w:rFonts w:ascii="Roboto" w:hAnsi="Roboto"/>
          <w:color w:val="222222"/>
        </w:rPr>
        <w:t> in which the law of that area was applied.</w:t>
      </w:r>
      <w:hyperlink r:id="rId8" w:anchor="cite_note-ah83-1" w:history="1">
        <w:r>
          <w:rPr>
            <w:rStyle w:val="Hyperlink"/>
            <w:rFonts w:ascii="inherit" w:hAnsi="inherit"/>
            <w:color w:val="6B4BA1"/>
            <w:sz w:val="18"/>
            <w:szCs w:val="18"/>
            <w:bdr w:val="none" w:sz="0" w:space="0" w:color="auto" w:frame="1"/>
          </w:rPr>
          <w:t>[1]</w:t>
        </w:r>
      </w:hyperlink>
      <w:r>
        <w:rPr>
          <w:rFonts w:ascii="Roboto" w:hAnsi="Roboto"/>
          <w:color w:val="222222"/>
        </w:rPr>
        <w:t> It is then up to the student to analyze the language of the case in order to determine what rule was applied and how the </w:t>
      </w:r>
      <w:r w:rsidRPr="000F4881">
        <w:rPr>
          <w:rFonts w:ascii="inherit" w:hAnsi="inherit"/>
          <w:color w:val="222222"/>
          <w:bdr w:val="none" w:sz="0" w:space="0" w:color="auto" w:frame="1"/>
        </w:rPr>
        <w:t>court</w:t>
      </w:r>
      <w:r>
        <w:rPr>
          <w:rFonts w:ascii="Roboto" w:hAnsi="Roboto"/>
          <w:color w:val="222222"/>
        </w:rPr>
        <w:t> applied it.</w:t>
      </w:r>
      <w:hyperlink r:id="rId9" w:anchor="cite_note-ah83-1" w:history="1">
        <w:r>
          <w:rPr>
            <w:rStyle w:val="Hyperlink"/>
            <w:rFonts w:ascii="inherit" w:hAnsi="inherit"/>
            <w:color w:val="6B4BA1"/>
            <w:sz w:val="18"/>
            <w:szCs w:val="18"/>
            <w:bdr w:val="none" w:sz="0" w:space="0" w:color="auto" w:frame="1"/>
          </w:rPr>
          <w:t>[1]</w:t>
        </w:r>
      </w:hyperlink>
      <w:r>
        <w:rPr>
          <w:rFonts w:ascii="Roboto" w:hAnsi="Roboto"/>
          <w:color w:val="222222"/>
        </w:rPr>
        <w:t> Casebooks sometimes also contain excerpts from </w:t>
      </w:r>
      <w:r w:rsidRPr="000F4881">
        <w:rPr>
          <w:rFonts w:ascii="inherit" w:hAnsi="inherit"/>
          <w:color w:val="222222"/>
          <w:bdr w:val="none" w:sz="0" w:space="0" w:color="auto" w:frame="1"/>
        </w:rPr>
        <w:t>law review</w:t>
      </w:r>
      <w:r>
        <w:rPr>
          <w:rFonts w:ascii="Roboto" w:hAnsi="Roboto"/>
          <w:color w:val="222222"/>
        </w:rPr>
        <w:t> articles and </w:t>
      </w:r>
      <w:r w:rsidRPr="00C64180">
        <w:rPr>
          <w:rFonts w:ascii="inherit" w:hAnsi="inherit"/>
          <w:color w:val="222222"/>
          <w:bdr w:val="none" w:sz="0" w:space="0" w:color="auto" w:frame="1"/>
        </w:rPr>
        <w:t>legal treatises</w:t>
      </w:r>
      <w:r>
        <w:rPr>
          <w:rFonts w:ascii="Roboto" w:hAnsi="Roboto"/>
          <w:color w:val="222222"/>
        </w:rPr>
        <w:t>, historical notes, editorial commentary, and other related materials to provide background for the cases.</w:t>
      </w:r>
    </w:p>
    <w:p w:rsidR="000B19E6" w:rsidRDefault="000B19E6">
      <w:pPr>
        <w:pStyle w:val="NormalWeb"/>
        <w:shd w:val="clear" w:color="auto" w:fill="FFFFFF"/>
        <w:spacing w:before="0" w:beforeAutospacing="0" w:after="0" w:afterAutospacing="0"/>
        <w:textAlignment w:val="baseline"/>
        <w:divId w:val="169024749"/>
        <w:rPr>
          <w:rFonts w:ascii="Roboto" w:hAnsi="Roboto"/>
          <w:color w:val="222222"/>
        </w:rPr>
      </w:pPr>
      <w:r>
        <w:rPr>
          <w:rFonts w:ascii="Roboto" w:hAnsi="Roboto"/>
          <w:color w:val="222222"/>
        </w:rPr>
        <w:t>The teaching style based on casebooks is known as the </w:t>
      </w:r>
      <w:r w:rsidRPr="000F4881">
        <w:rPr>
          <w:rFonts w:ascii="inherit" w:hAnsi="inherit"/>
          <w:color w:val="222222"/>
          <w:bdr w:val="none" w:sz="0" w:space="0" w:color="auto" w:frame="1"/>
        </w:rPr>
        <w:t>casebook method</w:t>
      </w:r>
      <w:r>
        <w:rPr>
          <w:rFonts w:ascii="Roboto" w:hAnsi="Roboto"/>
          <w:color w:val="222222"/>
        </w:rPr>
        <w:t> and is supposed to instill in law students how to "think like a </w:t>
      </w:r>
      <w:r w:rsidRPr="00CB63DE">
        <w:rPr>
          <w:rFonts w:ascii="inherit" w:hAnsi="inherit"/>
          <w:color w:val="222222"/>
          <w:bdr w:val="none" w:sz="0" w:space="0" w:color="auto" w:frame="1"/>
        </w:rPr>
        <w:t>lawyer</w:t>
      </w:r>
      <w:r>
        <w:rPr>
          <w:rFonts w:ascii="Roboto" w:hAnsi="Roboto"/>
          <w:color w:val="222222"/>
        </w:rPr>
        <w:t>."</w:t>
      </w:r>
      <w:hyperlink r:id="rId10" w:anchor="cite_note-ah83-1" w:history="1">
        <w:r>
          <w:rPr>
            <w:rStyle w:val="Hyperlink"/>
            <w:rFonts w:ascii="inherit" w:hAnsi="inherit"/>
            <w:color w:val="6B4BA1"/>
            <w:sz w:val="18"/>
            <w:szCs w:val="18"/>
            <w:bdr w:val="none" w:sz="0" w:space="0" w:color="auto" w:frame="1"/>
          </w:rPr>
          <w:t>[1]</w:t>
        </w:r>
      </w:hyperlink>
      <w:r>
        <w:rPr>
          <w:rFonts w:ascii="Roboto" w:hAnsi="Roboto"/>
          <w:color w:val="222222"/>
        </w:rPr>
        <w:t> The casebook method is most often used in law schools in countries with </w:t>
      </w:r>
      <w:r w:rsidRPr="00CB63DE">
        <w:rPr>
          <w:rFonts w:ascii="inherit" w:hAnsi="inherit"/>
          <w:color w:val="222222"/>
          <w:bdr w:val="none" w:sz="0" w:space="0" w:color="auto" w:frame="1"/>
        </w:rPr>
        <w:t>common law</w:t>
      </w:r>
      <w:r>
        <w:rPr>
          <w:rFonts w:ascii="Roboto" w:hAnsi="Roboto"/>
          <w:color w:val="222222"/>
        </w:rPr>
        <w:t> </w:t>
      </w:r>
      <w:r w:rsidRPr="00CB63DE">
        <w:rPr>
          <w:rFonts w:ascii="inherit" w:hAnsi="inherit"/>
          <w:color w:val="222222"/>
          <w:bdr w:val="none" w:sz="0" w:space="0" w:color="auto" w:frame="1"/>
        </w:rPr>
        <w:t>legal systems</w:t>
      </w:r>
      <w:r>
        <w:rPr>
          <w:rFonts w:ascii="Roboto" w:hAnsi="Roboto"/>
          <w:color w:val="222222"/>
        </w:rPr>
        <w:t>, where </w:t>
      </w:r>
      <w:r w:rsidRPr="00CB63DE">
        <w:rPr>
          <w:rFonts w:ascii="inherit" w:hAnsi="inherit"/>
          <w:color w:val="222222"/>
          <w:bdr w:val="none" w:sz="0" w:space="0" w:color="auto" w:frame="1"/>
        </w:rPr>
        <w:t>case law</w:t>
      </w:r>
      <w:r>
        <w:rPr>
          <w:rFonts w:ascii="Roboto" w:hAnsi="Roboto"/>
          <w:color w:val="222222"/>
        </w:rPr>
        <w:t> is a major </w:t>
      </w:r>
      <w:r w:rsidRPr="00CB63DE">
        <w:rPr>
          <w:rFonts w:ascii="inherit" w:hAnsi="inherit"/>
          <w:color w:val="222222"/>
          <w:bdr w:val="none" w:sz="0" w:space="0" w:color="auto" w:frame="1"/>
        </w:rPr>
        <w:t>source of law</w:t>
      </w:r>
      <w:r>
        <w:rPr>
          <w:rFonts w:ascii="Roboto" w:hAnsi="Roboto"/>
          <w:color w:val="222222"/>
        </w:rPr>
        <w:t>.</w:t>
      </w:r>
    </w:p>
    <w:p w:rsidR="000B19E6" w:rsidRDefault="000B19E6">
      <w:pPr>
        <w:pStyle w:val="NormalWeb"/>
        <w:shd w:val="clear" w:color="auto" w:fill="FFFFFF"/>
        <w:spacing w:before="0" w:beforeAutospacing="0" w:after="0" w:afterAutospacing="0"/>
        <w:textAlignment w:val="baseline"/>
        <w:divId w:val="169024749"/>
        <w:rPr>
          <w:rFonts w:ascii="Roboto" w:hAnsi="Roboto"/>
          <w:color w:val="222222"/>
        </w:rPr>
      </w:pPr>
      <w:r>
        <w:rPr>
          <w:rFonts w:ascii="Roboto" w:hAnsi="Roboto"/>
          <w:color w:val="222222"/>
        </w:rPr>
        <w:t>Most casebooks are authored by law </w:t>
      </w:r>
      <w:r w:rsidRPr="00CB63DE">
        <w:rPr>
          <w:rFonts w:ascii="inherit" w:hAnsi="inherit"/>
          <w:color w:val="222222"/>
          <w:bdr w:val="none" w:sz="0" w:space="0" w:color="auto" w:frame="1"/>
        </w:rPr>
        <w:t>professors</w:t>
      </w:r>
      <w:r>
        <w:rPr>
          <w:rFonts w:ascii="Roboto" w:hAnsi="Roboto"/>
          <w:color w:val="222222"/>
        </w:rPr>
        <w:t>, usually with two, three, or four authors, at least one of whom will be a professor at the top of his or her field in the area under discussion. New editions of casebooks often retain the names of famous professors on their covers decades after those professors have died. Updating of the books, then, falls on the shoulders of a younger generation of their colleagues. Such casebooks are often known by the names of the leading professor authors, such as </w:t>
      </w:r>
      <w:r w:rsidRPr="00CB63DE">
        <w:rPr>
          <w:rFonts w:ascii="inherit" w:hAnsi="inherit"/>
          <w:color w:val="222222"/>
          <w:bdr w:val="none" w:sz="0" w:space="0" w:color="auto" w:frame="1"/>
        </w:rPr>
        <w:t>Prosser</w:t>
      </w:r>
      <w:r>
        <w:rPr>
          <w:rFonts w:ascii="Roboto" w:hAnsi="Roboto"/>
          <w:color w:val="222222"/>
        </w:rPr>
        <w:t>, Wade, &amp; Schwartz's, </w:t>
      </w:r>
      <w:r w:rsidRPr="00CB63DE">
        <w:rPr>
          <w:rFonts w:ascii="inherit" w:hAnsi="inherit"/>
          <w:i/>
          <w:iCs/>
          <w:color w:val="222222"/>
          <w:bdr w:val="none" w:sz="0" w:space="0" w:color="auto" w:frame="1"/>
        </w:rPr>
        <w:t>Torts</w:t>
      </w:r>
      <w:r>
        <w:rPr>
          <w:rFonts w:ascii="inherit" w:hAnsi="inherit"/>
          <w:i/>
          <w:iCs/>
          <w:color w:val="222222"/>
          <w:bdr w:val="none" w:sz="0" w:space="0" w:color="auto" w:frame="1"/>
        </w:rPr>
        <w:t>: Cases &amp; Materials</w:t>
      </w:r>
    </w:p>
    <w:p w:rsidR="00902A15" w:rsidRPr="006F5580" w:rsidRDefault="00902A15" w:rsidP="006F5580">
      <w:pPr>
        <w:pStyle w:val="Heading2"/>
        <w:shd w:val="clear" w:color="auto" w:fill="FFFFFF"/>
        <w:spacing w:before="0"/>
        <w:divId w:val="320625525"/>
        <w:rPr>
          <w:rFonts w:ascii="Roboto" w:eastAsia="Times New Roman" w:hAnsi="Roboto"/>
          <w:color w:val="444444"/>
          <w:sz w:val="27"/>
          <w:szCs w:val="27"/>
        </w:rPr>
      </w:pPr>
    </w:p>
    <w:p w:rsidR="00D95F7F" w:rsidRDefault="00114955" w:rsidP="000B19E6">
      <w:pPr>
        <w:spacing w:before="100" w:beforeAutospacing="1" w:after="150" w:line="384" w:lineRule="atLeast"/>
        <w:divId w:val="1997953235"/>
        <w:rPr>
          <w:rFonts w:ascii="Helvetica" w:eastAsia="Times New Roman" w:hAnsi="Helvetica"/>
          <w:color w:val="555555"/>
          <w:sz w:val="27"/>
          <w:szCs w:val="27"/>
        </w:rPr>
      </w:pPr>
      <w:r w:rsidRPr="00C22C38">
        <w:rPr>
          <w:rFonts w:ascii="Helvetica" w:eastAsia="Times New Roman" w:hAnsi="Helvetica"/>
          <w:b/>
          <w:bCs/>
          <w:color w:val="555555"/>
          <w:sz w:val="27"/>
          <w:szCs w:val="27"/>
        </w:rPr>
        <w:t>TREATIES</w:t>
      </w:r>
      <w:r>
        <w:rPr>
          <w:rFonts w:ascii="Helvetica" w:eastAsia="Times New Roman" w:hAnsi="Helvetica"/>
          <w:color w:val="555555"/>
          <w:sz w:val="27"/>
          <w:szCs w:val="27"/>
        </w:rPr>
        <w:t>:</w:t>
      </w:r>
    </w:p>
    <w:p w:rsidR="00FF014D" w:rsidRDefault="008B0DF1" w:rsidP="00FF014D">
      <w:pPr>
        <w:rPr>
          <w:rFonts w:ascii="Helvetica" w:eastAsia="Times New Roman" w:hAnsi="Helvetica"/>
          <w:color w:val="555555"/>
          <w:sz w:val="27"/>
          <w:szCs w:val="27"/>
          <w:shd w:val="clear" w:color="auto" w:fill="FFFFFF"/>
        </w:rPr>
      </w:pPr>
      <w:r>
        <w:rPr>
          <w:rFonts w:ascii="Helvetica" w:eastAsia="Times New Roman" w:hAnsi="Helvetica"/>
          <w:color w:val="555555"/>
          <w:sz w:val="27"/>
          <w:szCs w:val="27"/>
          <w:shd w:val="clear" w:color="auto" w:fill="FFFFFF"/>
        </w:rPr>
        <w:lastRenderedPageBreak/>
        <w:t>Treatises--books on legal topics--are a good place to begin your research or find an answer to a question, and </w:t>
      </w:r>
      <w:r>
        <w:rPr>
          <w:rStyle w:val="Strong"/>
          <w:rFonts w:ascii="Helvetica" w:eastAsia="Times New Roman" w:hAnsi="Helvetica"/>
          <w:color w:val="555555"/>
          <w:sz w:val="27"/>
          <w:szCs w:val="27"/>
          <w:shd w:val="clear" w:color="auto" w:fill="FFFFFF"/>
        </w:rPr>
        <w:t>will help you save time by providing explanation, analysis, and tips on the most relevant primary sources</w:t>
      </w:r>
      <w:r>
        <w:rPr>
          <w:rFonts w:ascii="Helvetica" w:eastAsia="Times New Roman" w:hAnsi="Helvetica"/>
          <w:color w:val="555555"/>
          <w:sz w:val="27"/>
          <w:szCs w:val="27"/>
          <w:shd w:val="clear" w:color="auto" w:fill="FFFFFF"/>
        </w:rPr>
        <w:t>. Treatises range from single volume overviews to extensively detailed multi-volume sets. They may come in the form of bound books updated with pocket parts or looseleafs with easily replaced pages. Some treatises are intended for law students while others are meant for practicing lawyers. </w:t>
      </w:r>
    </w:p>
    <w:p w:rsidR="00C22C38" w:rsidRDefault="00C22C38" w:rsidP="00FF014D">
      <w:pPr>
        <w:rPr>
          <w:rFonts w:ascii="Helvetica" w:eastAsia="Times New Roman" w:hAnsi="Helvetica"/>
          <w:color w:val="555555"/>
          <w:sz w:val="27"/>
          <w:szCs w:val="27"/>
          <w:shd w:val="clear" w:color="auto" w:fill="FFFFFF"/>
        </w:rPr>
      </w:pPr>
    </w:p>
    <w:p w:rsidR="00036FD3" w:rsidRDefault="00036FD3">
      <w:pPr>
        <w:pStyle w:val="Heading2"/>
        <w:shd w:val="clear" w:color="auto" w:fill="FFFFFF"/>
        <w:spacing w:before="0"/>
        <w:divId w:val="1828596427"/>
        <w:rPr>
          <w:rFonts w:ascii="Roboto" w:eastAsia="Times New Roman" w:hAnsi="Roboto"/>
          <w:color w:val="444444"/>
          <w:sz w:val="27"/>
          <w:szCs w:val="27"/>
        </w:rPr>
      </w:pPr>
      <w:r>
        <w:rPr>
          <w:rFonts w:ascii="Roboto" w:eastAsia="Times New Roman" w:hAnsi="Roboto"/>
          <w:b/>
          <w:bCs/>
          <w:color w:val="444444"/>
          <w:sz w:val="27"/>
          <w:szCs w:val="27"/>
        </w:rPr>
        <w:t>Introduction to Law Journals</w:t>
      </w:r>
    </w:p>
    <w:p w:rsidR="00036FD3" w:rsidRDefault="00036FD3">
      <w:pPr>
        <w:pStyle w:val="NormalWeb"/>
        <w:spacing w:before="0" w:beforeAutospacing="0" w:after="375" w:afterAutospacing="0" w:line="384" w:lineRule="atLeast"/>
        <w:divId w:val="1545365008"/>
        <w:rPr>
          <w:rFonts w:ascii="Helvetica" w:hAnsi="Helvetica"/>
          <w:color w:val="555555"/>
          <w:sz w:val="27"/>
          <w:szCs w:val="27"/>
        </w:rPr>
      </w:pPr>
      <w:r>
        <w:rPr>
          <w:rStyle w:val="Strong"/>
          <w:rFonts w:ascii="Helvetica" w:hAnsi="Helvetica"/>
          <w:color w:val="555555"/>
          <w:sz w:val="27"/>
          <w:szCs w:val="27"/>
        </w:rPr>
        <w:t>Law review or journal articles are another great secondary source for legal research, valuable for the depth in which they analyze and critique legal topics, as well as their extensive references to other sources, including primary sources.</w:t>
      </w:r>
    </w:p>
    <w:p w:rsidR="00036FD3" w:rsidRDefault="00036FD3">
      <w:pPr>
        <w:pStyle w:val="NormalWeb"/>
        <w:spacing w:before="0" w:beforeAutospacing="0" w:after="375" w:afterAutospacing="0" w:line="384" w:lineRule="atLeast"/>
        <w:divId w:val="1545365008"/>
        <w:rPr>
          <w:rFonts w:ascii="Helvetica" w:hAnsi="Helvetica"/>
          <w:color w:val="555555"/>
          <w:sz w:val="27"/>
          <w:szCs w:val="27"/>
        </w:rPr>
      </w:pPr>
      <w:r>
        <w:rPr>
          <w:rFonts w:ascii="Helvetica" w:hAnsi="Helvetica"/>
          <w:color w:val="555555"/>
          <w:sz w:val="27"/>
          <w:szCs w:val="27"/>
        </w:rPr>
        <w:t>Law reviews are scholarly publications, usually edited by law students in conjunction with faculty members. They contain both lengthy articles and shorter essays by professors and lawyers, as well as comments, notes, or developments in the law written by students. </w:t>
      </w:r>
      <w:r>
        <w:rPr>
          <w:rStyle w:val="Strong"/>
          <w:rFonts w:ascii="Helvetica" w:hAnsi="Helvetica"/>
          <w:color w:val="555555"/>
          <w:sz w:val="27"/>
          <w:szCs w:val="27"/>
        </w:rPr>
        <w:t>Law review articles often focus on new or emerging areas of law and they can offer more critical commentary than a legal encyclopedia or ALR entry</w:t>
      </w:r>
      <w:r>
        <w:rPr>
          <w:rFonts w:ascii="Helvetica" w:hAnsi="Helvetica"/>
          <w:color w:val="555555"/>
          <w:sz w:val="27"/>
          <w:szCs w:val="27"/>
        </w:rPr>
        <w:t>.</w:t>
      </w:r>
    </w:p>
    <w:p w:rsidR="00036FD3" w:rsidRDefault="00036FD3">
      <w:pPr>
        <w:pStyle w:val="NormalWeb"/>
        <w:spacing w:before="0" w:beforeAutospacing="0" w:after="375" w:afterAutospacing="0" w:line="384" w:lineRule="atLeast"/>
        <w:divId w:val="1545365008"/>
        <w:rPr>
          <w:rFonts w:ascii="Helvetica" w:hAnsi="Helvetica"/>
          <w:color w:val="555555"/>
          <w:sz w:val="27"/>
          <w:szCs w:val="27"/>
        </w:rPr>
      </w:pPr>
      <w:r>
        <w:rPr>
          <w:rFonts w:ascii="Helvetica" w:hAnsi="Helvetica"/>
          <w:color w:val="555555"/>
          <w:sz w:val="27"/>
          <w:szCs w:val="27"/>
        </w:rPr>
        <w:t>Some law reviews are dedicated to a particular topic, such as gender and the law or environmental law, and will include in their contents the proceedings of a wide range of panels and symposia on timely legal issues.</w:t>
      </w:r>
    </w:p>
    <w:p w:rsidR="00C17FA0" w:rsidRDefault="00C17FA0">
      <w:pPr>
        <w:pStyle w:val="Heading2"/>
        <w:shd w:val="clear" w:color="auto" w:fill="FFFFFF"/>
        <w:spacing w:before="0"/>
        <w:divId w:val="2029796909"/>
        <w:rPr>
          <w:rFonts w:ascii="Roboto" w:eastAsia="Times New Roman" w:hAnsi="Roboto"/>
          <w:b/>
          <w:bCs/>
          <w:color w:val="444444"/>
          <w:sz w:val="27"/>
          <w:szCs w:val="27"/>
        </w:rPr>
      </w:pPr>
    </w:p>
    <w:p w:rsidR="00E85408" w:rsidRDefault="00E85408">
      <w:pPr>
        <w:pStyle w:val="Heading2"/>
        <w:shd w:val="clear" w:color="auto" w:fill="FFFFFF"/>
        <w:spacing w:before="0"/>
        <w:divId w:val="2029796909"/>
        <w:rPr>
          <w:rFonts w:ascii="Roboto" w:eastAsia="Times New Roman" w:hAnsi="Roboto"/>
          <w:color w:val="444444"/>
          <w:sz w:val="27"/>
          <w:szCs w:val="27"/>
        </w:rPr>
      </w:pPr>
      <w:r>
        <w:rPr>
          <w:rFonts w:ascii="Roboto" w:eastAsia="Times New Roman" w:hAnsi="Roboto"/>
          <w:b/>
          <w:bCs/>
          <w:color w:val="444444"/>
          <w:sz w:val="27"/>
          <w:szCs w:val="27"/>
        </w:rPr>
        <w:t>Introduction to Restatements</w:t>
      </w:r>
    </w:p>
    <w:p w:rsidR="00E85408" w:rsidRDefault="00E85408">
      <w:pPr>
        <w:pStyle w:val="NormalWeb"/>
        <w:spacing w:before="0" w:beforeAutospacing="0" w:after="375" w:afterAutospacing="0" w:line="384" w:lineRule="atLeast"/>
        <w:divId w:val="31346870"/>
        <w:rPr>
          <w:rFonts w:ascii="Helvetica" w:hAnsi="Helvetica"/>
          <w:color w:val="555555"/>
          <w:sz w:val="27"/>
          <w:szCs w:val="27"/>
        </w:rPr>
      </w:pPr>
      <w:r>
        <w:rPr>
          <w:rStyle w:val="Strong"/>
          <w:rFonts w:ascii="Helvetica" w:hAnsi="Helvetica"/>
          <w:color w:val="555555"/>
          <w:sz w:val="27"/>
          <w:szCs w:val="27"/>
        </w:rPr>
        <w:t>Restatements are highly regarded distillations of common law</w:t>
      </w:r>
      <w:r>
        <w:rPr>
          <w:rFonts w:ascii="Helvetica" w:hAnsi="Helvetica"/>
          <w:color w:val="555555"/>
          <w:sz w:val="27"/>
          <w:szCs w:val="27"/>
        </w:rPr>
        <w:t>. They are prepared by the American Law Institute (ALI), a prestigious organization comprising judges, professors, and lawyers. The ALI's aim is to distill the "black letter law" from cases to indicate trends in common law, and occasionally to recommend what a rule of law should be. In essence, they restate existing common law into a series of principles or rules.</w:t>
      </w:r>
    </w:p>
    <w:p w:rsidR="00E85408" w:rsidRDefault="00E85408">
      <w:pPr>
        <w:pStyle w:val="NormalWeb"/>
        <w:spacing w:before="0" w:beforeAutospacing="0" w:after="375" w:afterAutospacing="0" w:line="384" w:lineRule="atLeast"/>
        <w:divId w:val="31346870"/>
        <w:rPr>
          <w:rFonts w:ascii="Helvetica" w:hAnsi="Helvetica"/>
          <w:color w:val="555555"/>
          <w:sz w:val="27"/>
          <w:szCs w:val="27"/>
        </w:rPr>
      </w:pPr>
      <w:r>
        <w:rPr>
          <w:rFonts w:ascii="Helvetica" w:hAnsi="Helvetica"/>
          <w:color w:val="555555"/>
          <w:sz w:val="27"/>
          <w:szCs w:val="27"/>
        </w:rPr>
        <w:lastRenderedPageBreak/>
        <w:t>Restatements cover broad topics, such as Contracts or Property. They are organized into chapters, titles, and sections. Sections contain a concisely stated rule of law, comments to clarify the rule, hypothetical examples, explanation of purpose, as well as exceptions to the rule.</w:t>
      </w:r>
    </w:p>
    <w:p w:rsidR="00E85408" w:rsidRDefault="00E85408">
      <w:pPr>
        <w:pStyle w:val="NormalWeb"/>
        <w:spacing w:before="0" w:beforeAutospacing="0" w:after="375" w:afterAutospacing="0" w:line="384" w:lineRule="atLeast"/>
        <w:divId w:val="31346870"/>
        <w:rPr>
          <w:rFonts w:ascii="Helvetica" w:hAnsi="Helvetica"/>
          <w:color w:val="555555"/>
          <w:sz w:val="27"/>
          <w:szCs w:val="27"/>
        </w:rPr>
      </w:pPr>
      <w:r>
        <w:rPr>
          <w:rFonts w:ascii="Helvetica" w:hAnsi="Helvetica"/>
          <w:color w:val="555555"/>
          <w:sz w:val="27"/>
          <w:szCs w:val="27"/>
        </w:rPr>
        <w:t>Restatements are not primary law. Due to the prestige of the ALI and its painstaking drafting process, however, they are considered persuasive authority by many courts. The most heavily cited Restatements are the Restatement of Torts and the Restatement of Contracts.</w:t>
      </w:r>
    </w:p>
    <w:p w:rsidR="00C22C38" w:rsidRPr="00B52DC9" w:rsidRDefault="00C22C38" w:rsidP="00FF014D">
      <w:pPr>
        <w:rPr>
          <w:b/>
          <w:bCs/>
          <w:sz w:val="32"/>
          <w:szCs w:val="32"/>
          <w:u w:val="single"/>
        </w:rPr>
      </w:pPr>
    </w:p>
    <w:sectPr w:rsidR="00C22C38" w:rsidRPr="00B52D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inherit">
    <w:altName w:val="Noto Serif Thai"/>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992"/>
    <w:multiLevelType w:val="hybridMultilevel"/>
    <w:tmpl w:val="572CC0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E17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4E78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C03025"/>
    <w:multiLevelType w:val="multilevel"/>
    <w:tmpl w:val="6A28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C2"/>
    <w:rsid w:val="00036FD3"/>
    <w:rsid w:val="000916E9"/>
    <w:rsid w:val="000B19E6"/>
    <w:rsid w:val="000F4881"/>
    <w:rsid w:val="00114955"/>
    <w:rsid w:val="0014783D"/>
    <w:rsid w:val="001760A9"/>
    <w:rsid w:val="00207D59"/>
    <w:rsid w:val="00265EDB"/>
    <w:rsid w:val="0028039C"/>
    <w:rsid w:val="003842FD"/>
    <w:rsid w:val="003C7802"/>
    <w:rsid w:val="00410755"/>
    <w:rsid w:val="00483295"/>
    <w:rsid w:val="004863D5"/>
    <w:rsid w:val="00522DB1"/>
    <w:rsid w:val="0056736C"/>
    <w:rsid w:val="006F5580"/>
    <w:rsid w:val="008A30BF"/>
    <w:rsid w:val="008B0DF1"/>
    <w:rsid w:val="00902A15"/>
    <w:rsid w:val="00916021"/>
    <w:rsid w:val="009C1EA6"/>
    <w:rsid w:val="00A403A7"/>
    <w:rsid w:val="00B203DF"/>
    <w:rsid w:val="00B41517"/>
    <w:rsid w:val="00B52DC9"/>
    <w:rsid w:val="00C17FA0"/>
    <w:rsid w:val="00C22C38"/>
    <w:rsid w:val="00C64180"/>
    <w:rsid w:val="00C8689F"/>
    <w:rsid w:val="00CB63DE"/>
    <w:rsid w:val="00D95F7F"/>
    <w:rsid w:val="00E53070"/>
    <w:rsid w:val="00E85408"/>
    <w:rsid w:val="00EB3F77"/>
    <w:rsid w:val="00F93392"/>
    <w:rsid w:val="00FA51C2"/>
    <w:rsid w:val="00FF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C76D31"/>
  <w15:chartTrackingRefBased/>
  <w15:docId w15:val="{C382E65E-45F8-4846-AEFD-E34C45B6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78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9C"/>
    <w:pPr>
      <w:ind w:left="720"/>
      <w:contextualSpacing/>
    </w:pPr>
  </w:style>
  <w:style w:type="paragraph" w:styleId="NormalWeb">
    <w:name w:val="Normal (Web)"/>
    <w:basedOn w:val="Normal"/>
    <w:uiPriority w:val="99"/>
    <w:semiHidden/>
    <w:unhideWhenUsed/>
    <w:rsid w:val="00C8689F"/>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C780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C7802"/>
    <w:rPr>
      <w:color w:val="0000FF"/>
      <w:u w:val="single"/>
    </w:rPr>
  </w:style>
  <w:style w:type="character" w:styleId="Strong">
    <w:name w:val="Strong"/>
    <w:basedOn w:val="DefaultParagraphFont"/>
    <w:uiPriority w:val="22"/>
    <w:qFormat/>
    <w:rsid w:val="008B0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5525">
      <w:bodyDiv w:val="1"/>
      <w:marLeft w:val="0"/>
      <w:marRight w:val="0"/>
      <w:marTop w:val="0"/>
      <w:marBottom w:val="0"/>
      <w:divBdr>
        <w:top w:val="none" w:sz="0" w:space="0" w:color="auto"/>
        <w:left w:val="none" w:sz="0" w:space="0" w:color="auto"/>
        <w:bottom w:val="none" w:sz="0" w:space="0" w:color="auto"/>
        <w:right w:val="none" w:sz="0" w:space="0" w:color="auto"/>
      </w:divBdr>
      <w:divsChild>
        <w:div w:id="301008236">
          <w:marLeft w:val="0"/>
          <w:marRight w:val="0"/>
          <w:marTop w:val="0"/>
          <w:marBottom w:val="0"/>
          <w:divBdr>
            <w:top w:val="none" w:sz="0" w:space="0" w:color="auto"/>
            <w:left w:val="none" w:sz="0" w:space="0" w:color="auto"/>
            <w:bottom w:val="none" w:sz="0" w:space="0" w:color="auto"/>
            <w:right w:val="none" w:sz="0" w:space="0" w:color="auto"/>
          </w:divBdr>
          <w:divsChild>
            <w:div w:id="1401366328">
              <w:marLeft w:val="0"/>
              <w:marRight w:val="0"/>
              <w:marTop w:val="0"/>
              <w:marBottom w:val="0"/>
              <w:divBdr>
                <w:top w:val="none" w:sz="0" w:space="0" w:color="auto"/>
                <w:left w:val="none" w:sz="0" w:space="0" w:color="auto"/>
                <w:bottom w:val="none" w:sz="0" w:space="0" w:color="auto"/>
                <w:right w:val="none" w:sz="0" w:space="0" w:color="auto"/>
              </w:divBdr>
              <w:divsChild>
                <w:div w:id="759563133">
                  <w:marLeft w:val="0"/>
                  <w:marRight w:val="0"/>
                  <w:marTop w:val="0"/>
                  <w:marBottom w:val="0"/>
                  <w:divBdr>
                    <w:top w:val="none" w:sz="0" w:space="0" w:color="auto"/>
                    <w:left w:val="none" w:sz="0" w:space="0" w:color="auto"/>
                    <w:bottom w:val="none" w:sz="0" w:space="0" w:color="auto"/>
                    <w:right w:val="none" w:sz="0" w:space="0" w:color="auto"/>
                  </w:divBdr>
                </w:div>
                <w:div w:id="728648745">
                  <w:marLeft w:val="0"/>
                  <w:marRight w:val="0"/>
                  <w:marTop w:val="0"/>
                  <w:marBottom w:val="0"/>
                  <w:divBdr>
                    <w:top w:val="none" w:sz="0" w:space="0" w:color="auto"/>
                    <w:left w:val="none" w:sz="0" w:space="0" w:color="auto"/>
                    <w:bottom w:val="none" w:sz="0" w:space="0" w:color="auto"/>
                    <w:right w:val="none" w:sz="0" w:space="0" w:color="auto"/>
                  </w:divBdr>
                  <w:divsChild>
                    <w:div w:id="1633093766">
                      <w:marLeft w:val="0"/>
                      <w:marRight w:val="0"/>
                      <w:marTop w:val="0"/>
                      <w:marBottom w:val="0"/>
                      <w:divBdr>
                        <w:top w:val="none" w:sz="0" w:space="0" w:color="auto"/>
                        <w:left w:val="none" w:sz="0" w:space="0" w:color="auto"/>
                        <w:bottom w:val="none" w:sz="0" w:space="0" w:color="auto"/>
                        <w:right w:val="none" w:sz="0" w:space="0" w:color="auto"/>
                      </w:divBdr>
                      <w:divsChild>
                        <w:div w:id="315577035">
                          <w:marLeft w:val="0"/>
                          <w:marRight w:val="0"/>
                          <w:marTop w:val="0"/>
                          <w:marBottom w:val="0"/>
                          <w:divBdr>
                            <w:top w:val="none" w:sz="0" w:space="0" w:color="auto"/>
                            <w:left w:val="none" w:sz="0" w:space="0" w:color="auto"/>
                            <w:bottom w:val="none" w:sz="0" w:space="0" w:color="auto"/>
                            <w:right w:val="none" w:sz="0" w:space="0" w:color="auto"/>
                          </w:divBdr>
                        </w:div>
                      </w:divsChild>
                    </w:div>
                    <w:div w:id="779840470">
                      <w:marLeft w:val="0"/>
                      <w:marRight w:val="0"/>
                      <w:marTop w:val="0"/>
                      <w:marBottom w:val="0"/>
                      <w:divBdr>
                        <w:top w:val="none" w:sz="0" w:space="0" w:color="auto"/>
                        <w:left w:val="none" w:sz="0" w:space="0" w:color="auto"/>
                        <w:bottom w:val="none" w:sz="0" w:space="0" w:color="auto"/>
                        <w:right w:val="none" w:sz="0" w:space="0" w:color="auto"/>
                      </w:divBdr>
                      <w:divsChild>
                        <w:div w:id="19979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4749">
          <w:marLeft w:val="0"/>
          <w:marRight w:val="0"/>
          <w:marTop w:val="0"/>
          <w:marBottom w:val="0"/>
          <w:divBdr>
            <w:top w:val="none" w:sz="0" w:space="0" w:color="auto"/>
            <w:left w:val="none" w:sz="0" w:space="0" w:color="auto"/>
            <w:bottom w:val="none" w:sz="0" w:space="0" w:color="auto"/>
            <w:right w:val="none" w:sz="0" w:space="0" w:color="auto"/>
          </w:divBdr>
        </w:div>
      </w:divsChild>
    </w:div>
    <w:div w:id="846869997">
      <w:bodyDiv w:val="1"/>
      <w:marLeft w:val="0"/>
      <w:marRight w:val="0"/>
      <w:marTop w:val="0"/>
      <w:marBottom w:val="0"/>
      <w:divBdr>
        <w:top w:val="none" w:sz="0" w:space="0" w:color="auto"/>
        <w:left w:val="none" w:sz="0" w:space="0" w:color="auto"/>
        <w:bottom w:val="none" w:sz="0" w:space="0" w:color="auto"/>
        <w:right w:val="none" w:sz="0" w:space="0" w:color="auto"/>
      </w:divBdr>
    </w:div>
    <w:div w:id="1516458569">
      <w:bodyDiv w:val="1"/>
      <w:marLeft w:val="0"/>
      <w:marRight w:val="0"/>
      <w:marTop w:val="0"/>
      <w:marBottom w:val="0"/>
      <w:divBdr>
        <w:top w:val="none" w:sz="0" w:space="0" w:color="auto"/>
        <w:left w:val="none" w:sz="0" w:space="0" w:color="auto"/>
        <w:bottom w:val="none" w:sz="0" w:space="0" w:color="auto"/>
        <w:right w:val="none" w:sz="0" w:space="0" w:color="auto"/>
      </w:divBdr>
      <w:divsChild>
        <w:div w:id="1768888117">
          <w:marLeft w:val="0"/>
          <w:marRight w:val="0"/>
          <w:marTop w:val="0"/>
          <w:marBottom w:val="0"/>
          <w:divBdr>
            <w:top w:val="none" w:sz="0" w:space="0" w:color="auto"/>
            <w:left w:val="none" w:sz="0" w:space="0" w:color="auto"/>
            <w:bottom w:val="none" w:sz="0" w:space="0" w:color="auto"/>
            <w:right w:val="none" w:sz="0" w:space="0" w:color="auto"/>
          </w:divBdr>
          <w:divsChild>
            <w:div w:id="1878659770">
              <w:marLeft w:val="0"/>
              <w:marRight w:val="0"/>
              <w:marTop w:val="0"/>
              <w:marBottom w:val="0"/>
              <w:divBdr>
                <w:top w:val="none" w:sz="0" w:space="0" w:color="auto"/>
                <w:left w:val="none" w:sz="0" w:space="0" w:color="auto"/>
                <w:bottom w:val="none" w:sz="0" w:space="0" w:color="auto"/>
                <w:right w:val="none" w:sz="0" w:space="0" w:color="auto"/>
              </w:divBdr>
              <w:divsChild>
                <w:div w:id="1317146991">
                  <w:marLeft w:val="0"/>
                  <w:marRight w:val="0"/>
                  <w:marTop w:val="0"/>
                  <w:marBottom w:val="0"/>
                  <w:divBdr>
                    <w:top w:val="none" w:sz="0" w:space="0" w:color="auto"/>
                    <w:left w:val="none" w:sz="0" w:space="0" w:color="auto"/>
                    <w:bottom w:val="none" w:sz="0" w:space="0" w:color="auto"/>
                    <w:right w:val="none" w:sz="0" w:space="0" w:color="auto"/>
                  </w:divBdr>
                </w:div>
                <w:div w:id="1689599260">
                  <w:marLeft w:val="0"/>
                  <w:marRight w:val="0"/>
                  <w:marTop w:val="0"/>
                  <w:marBottom w:val="0"/>
                  <w:divBdr>
                    <w:top w:val="none" w:sz="0" w:space="0" w:color="auto"/>
                    <w:left w:val="none" w:sz="0" w:space="0" w:color="auto"/>
                    <w:bottom w:val="none" w:sz="0" w:space="0" w:color="auto"/>
                    <w:right w:val="none" w:sz="0" w:space="0" w:color="auto"/>
                  </w:divBdr>
                  <w:divsChild>
                    <w:div w:id="1659772767">
                      <w:marLeft w:val="0"/>
                      <w:marRight w:val="0"/>
                      <w:marTop w:val="0"/>
                      <w:marBottom w:val="0"/>
                      <w:divBdr>
                        <w:top w:val="none" w:sz="0" w:space="0" w:color="auto"/>
                        <w:left w:val="none" w:sz="0" w:space="0" w:color="auto"/>
                        <w:bottom w:val="none" w:sz="0" w:space="0" w:color="auto"/>
                        <w:right w:val="none" w:sz="0" w:space="0" w:color="auto"/>
                      </w:divBdr>
                      <w:divsChild>
                        <w:div w:id="2135977464">
                          <w:marLeft w:val="0"/>
                          <w:marRight w:val="0"/>
                          <w:marTop w:val="0"/>
                          <w:marBottom w:val="0"/>
                          <w:divBdr>
                            <w:top w:val="none" w:sz="0" w:space="0" w:color="auto"/>
                            <w:left w:val="none" w:sz="0" w:space="0" w:color="auto"/>
                            <w:bottom w:val="none" w:sz="0" w:space="0" w:color="auto"/>
                            <w:right w:val="none" w:sz="0" w:space="0" w:color="auto"/>
                          </w:divBdr>
                        </w:div>
                      </w:divsChild>
                    </w:div>
                    <w:div w:id="868026861">
                      <w:marLeft w:val="0"/>
                      <w:marRight w:val="0"/>
                      <w:marTop w:val="0"/>
                      <w:marBottom w:val="0"/>
                      <w:divBdr>
                        <w:top w:val="none" w:sz="0" w:space="0" w:color="auto"/>
                        <w:left w:val="none" w:sz="0" w:space="0" w:color="auto"/>
                        <w:bottom w:val="none" w:sz="0" w:space="0" w:color="auto"/>
                        <w:right w:val="none" w:sz="0" w:space="0" w:color="auto"/>
                      </w:divBdr>
                      <w:divsChild>
                        <w:div w:id="3786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6427">
      <w:bodyDiv w:val="1"/>
      <w:marLeft w:val="0"/>
      <w:marRight w:val="0"/>
      <w:marTop w:val="0"/>
      <w:marBottom w:val="0"/>
      <w:divBdr>
        <w:top w:val="none" w:sz="0" w:space="0" w:color="auto"/>
        <w:left w:val="none" w:sz="0" w:space="0" w:color="auto"/>
        <w:bottom w:val="none" w:sz="0" w:space="0" w:color="auto"/>
        <w:right w:val="none" w:sz="0" w:space="0" w:color="auto"/>
      </w:divBdr>
      <w:divsChild>
        <w:div w:id="1399741509">
          <w:marLeft w:val="0"/>
          <w:marRight w:val="0"/>
          <w:marTop w:val="0"/>
          <w:marBottom w:val="0"/>
          <w:divBdr>
            <w:top w:val="none" w:sz="0" w:space="0" w:color="auto"/>
            <w:left w:val="none" w:sz="0" w:space="0" w:color="auto"/>
            <w:bottom w:val="none" w:sz="0" w:space="0" w:color="auto"/>
            <w:right w:val="none" w:sz="0" w:space="0" w:color="auto"/>
          </w:divBdr>
          <w:divsChild>
            <w:div w:id="448352257">
              <w:marLeft w:val="0"/>
              <w:marRight w:val="0"/>
              <w:marTop w:val="0"/>
              <w:marBottom w:val="0"/>
              <w:divBdr>
                <w:top w:val="none" w:sz="0" w:space="0" w:color="auto"/>
                <w:left w:val="none" w:sz="0" w:space="0" w:color="auto"/>
                <w:bottom w:val="none" w:sz="0" w:space="0" w:color="auto"/>
                <w:right w:val="none" w:sz="0" w:space="0" w:color="auto"/>
              </w:divBdr>
              <w:divsChild>
                <w:div w:id="1545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6909">
      <w:bodyDiv w:val="1"/>
      <w:marLeft w:val="0"/>
      <w:marRight w:val="0"/>
      <w:marTop w:val="0"/>
      <w:marBottom w:val="0"/>
      <w:divBdr>
        <w:top w:val="none" w:sz="0" w:space="0" w:color="auto"/>
        <w:left w:val="none" w:sz="0" w:space="0" w:color="auto"/>
        <w:bottom w:val="none" w:sz="0" w:space="0" w:color="auto"/>
        <w:right w:val="none" w:sz="0" w:space="0" w:color="auto"/>
      </w:divBdr>
      <w:divsChild>
        <w:div w:id="1869678666">
          <w:marLeft w:val="0"/>
          <w:marRight w:val="0"/>
          <w:marTop w:val="0"/>
          <w:marBottom w:val="0"/>
          <w:divBdr>
            <w:top w:val="none" w:sz="0" w:space="0" w:color="auto"/>
            <w:left w:val="none" w:sz="0" w:space="0" w:color="auto"/>
            <w:bottom w:val="none" w:sz="0" w:space="0" w:color="auto"/>
            <w:right w:val="none" w:sz="0" w:space="0" w:color="auto"/>
          </w:divBdr>
          <w:divsChild>
            <w:div w:id="76100184">
              <w:marLeft w:val="0"/>
              <w:marRight w:val="0"/>
              <w:marTop w:val="0"/>
              <w:marBottom w:val="0"/>
              <w:divBdr>
                <w:top w:val="none" w:sz="0" w:space="0" w:color="auto"/>
                <w:left w:val="none" w:sz="0" w:space="0" w:color="auto"/>
                <w:bottom w:val="none" w:sz="0" w:space="0" w:color="auto"/>
                <w:right w:val="none" w:sz="0" w:space="0" w:color="auto"/>
              </w:divBdr>
              <w:divsChild>
                <w:div w:id="313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Casebook" TargetMode="External" /><Relationship Id="rId3" Type="http://schemas.openxmlformats.org/officeDocument/2006/relationships/settings" Target="settings.xml" /><Relationship Id="rId7" Type="http://schemas.openxmlformats.org/officeDocument/2006/relationships/hyperlink" Target="https://en.m.wikipedia.org/wiki/Casebook"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a.next.westlaw.com/Browse/Home/SecondarySources/TextsTreatises/CorpusJurisSecundum?transitionType=Default&amp;contextData=(sc.Default)" TargetMode="External" /><Relationship Id="rId11" Type="http://schemas.openxmlformats.org/officeDocument/2006/relationships/fontTable" Target="fontTable.xml" /><Relationship Id="rId5" Type="http://schemas.openxmlformats.org/officeDocument/2006/relationships/hyperlink" Target="https://a.next.westlaw.com/Browse/Home/SecondarySources/TextsTreatises/AmericanJurisprudence2d?transitionType=Default&amp;contextData=(sc.Default)" TargetMode="External" /><Relationship Id="rId10" Type="http://schemas.openxmlformats.org/officeDocument/2006/relationships/hyperlink" Target="https://en.m.wikipedia.org/wiki/Casebook" TargetMode="External" /><Relationship Id="rId4" Type="http://schemas.openxmlformats.org/officeDocument/2006/relationships/webSettings" Target="webSettings.xml" /><Relationship Id="rId9" Type="http://schemas.openxmlformats.org/officeDocument/2006/relationships/hyperlink" Target="https://en.m.wikipedia.org/wiki/Casebo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2348138245755</dc:creator>
  <cp:keywords/>
  <dc:description/>
  <cp:lastModifiedBy>2348138245755</cp:lastModifiedBy>
  <cp:revision>2</cp:revision>
  <dcterms:created xsi:type="dcterms:W3CDTF">2020-04-14T22:27:00Z</dcterms:created>
  <dcterms:modified xsi:type="dcterms:W3CDTF">2020-04-14T22:27:00Z</dcterms:modified>
</cp:coreProperties>
</file>