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NAME: </w:t>
      </w:r>
      <w:r>
        <w:rPr>
          <w:rFonts w:ascii="Times New Roman" w:cs="Times New Roman" w:hAnsi="Times New Roman"/>
          <w:b/>
          <w:sz w:val="24"/>
          <w:szCs w:val="24"/>
        </w:rPr>
        <w:t>Godson Ugwu-Chima</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MATRIC: 16/SMS02/</w:t>
      </w:r>
      <w:r>
        <w:rPr>
          <w:rFonts w:ascii="Times New Roman" w:cs="Times New Roman" w:hAnsi="Times New Roman"/>
          <w:b/>
          <w:sz w:val="24"/>
          <w:szCs w:val="24"/>
          <w:lang w:val="en-US"/>
        </w:rPr>
        <w:t>055</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b/>
          <w:sz w:val="24"/>
          <w:szCs w:val="24"/>
        </w:rPr>
        <w:t>TRANSLATION OF FOREIGN CURRENCY FINANCIAL STATEMENTS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Statement of Financial Position Exposure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exposed to translation adjustment. Statement of Financial Position items translated at historical exchange rates do not change in parent currency value from one Statement of Financial Position to the next. These items are not exposed to translation adjustment. Exposure to translation adjustment is referred to as Statement of Financial Position, translation, or accounting exposure.  Statement of Financial Position exposure can be contrasted with the transaction exposure discussed earlier that arises when a company has foreign currency receivables and payables in the following way:   </w:t>
      </w:r>
    </w:p>
    <w:p>
      <w:pPr>
        <w:pStyle w:val="style0"/>
        <w:spacing w:lineRule="auto" w:line="480"/>
        <w:ind w:left="1440"/>
        <w:rPr>
          <w:rFonts w:ascii="Times New Roman" w:cs="Times New Roman" w:hAnsi="Times New Roman"/>
          <w:b/>
          <w:i/>
          <w:sz w:val="24"/>
          <w:szCs w:val="24"/>
        </w:rPr>
      </w:pPr>
      <w:r>
        <w:rPr>
          <w:rFonts w:ascii="Times New Roman" w:cs="Times New Roman" w:hAnsi="Times New Roman"/>
          <w:b/>
          <w:i/>
          <w:sz w:val="24"/>
          <w:szCs w:val="24"/>
        </w:rPr>
        <w:t>Transaction exposure gives rise to foreign exchange gains and losses that are ultimately realized in cash</w:t>
      </w:r>
      <w:r>
        <w:rPr>
          <w:rFonts w:ascii="Times New Roman" w:cs="Times New Roman" w:hAnsi="Times New Roman"/>
          <w:b/>
          <w:i/>
          <w:sz w:val="24"/>
          <w:szCs w:val="24"/>
        </w:rPr>
        <w:t>; T</w:t>
      </w:r>
      <w:r>
        <w:rPr>
          <w:rFonts w:ascii="Times New Roman" w:cs="Times New Roman" w:hAnsi="Times New Roman"/>
          <w:b/>
          <w:i/>
          <w:sz w:val="24"/>
          <w:szCs w:val="24"/>
        </w:rPr>
        <w:t>ranslation adjustments that arise from Statement of Financial Position exposure do not directly result in cash inflows or outflows.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w:t>
      </w:r>
      <w:r>
        <w:rPr>
          <w:rFonts w:ascii="Times New Roman" w:cs="Times New Roman" w:hAnsi="Times New Roman"/>
          <w:sz w:val="24"/>
          <w:szCs w:val="24"/>
        </w:rPr>
        <w:t>exchange rate. The relationship between exchange rate fluctuations, Statement of Financial Position exposure, and translation adjustments can be summarized as follows:</w:t>
      </w:r>
    </w:p>
    <w:tbl>
      <w:tblPr>
        <w:tblW w:w="8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7"/>
        <w:gridCol w:w="2270"/>
        <w:gridCol w:w="2508"/>
      </w:tblGrid>
      <w:tr>
        <w:trPr>
          <w:trHeight w:val="143" w:hRule="atLeast"/>
        </w:trPr>
        <w:tc>
          <w:tcPr>
            <w:tcW w:w="3757" w:type="dxa"/>
            <w:vMerge w:val="restart"/>
            <w:tcBorders/>
          </w:tcPr>
          <w:p>
            <w:pPr>
              <w:pStyle w:val="style0"/>
              <w:rPr>
                <w:rFonts w:ascii="Times New Roman" w:cs="Times New Roman" w:hAnsi="Times New Roman"/>
                <w:b/>
                <w:sz w:val="24"/>
                <w:szCs w:val="24"/>
              </w:rPr>
            </w:pPr>
            <w:r>
              <w:rPr>
                <w:rFonts w:ascii="Times New Roman" w:cs="Times New Roman" w:hAnsi="Times New Roman"/>
                <w:b/>
                <w:sz w:val="24"/>
                <w:szCs w:val="24"/>
              </w:rPr>
              <w:t>STATEMENT OF FINANCIAL POSITION EXPOSURE</w:t>
            </w:r>
          </w:p>
        </w:tc>
        <w:tc>
          <w:tcPr>
            <w:tcW w:w="4778" w:type="dxa"/>
            <w:gridSpan w:val="2"/>
            <w:tcBorders/>
          </w:tcPr>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FOREIGN CURRENCY</w:t>
            </w:r>
          </w:p>
        </w:tc>
      </w:tr>
      <w:tr>
        <w:tblPrEx/>
        <w:trPr>
          <w:trHeight w:val="334" w:hRule="atLeast"/>
        </w:trPr>
        <w:tc>
          <w:tcPr>
            <w:tcW w:w="3757" w:type="dxa"/>
            <w:vMerge w:val="continue"/>
            <w:tcBorders/>
          </w:tcPr>
          <w:p>
            <w:pPr>
              <w:pStyle w:val="style0"/>
              <w:rPr>
                <w:rFonts w:ascii="Times New Roman" w:cs="Times New Roman" w:hAnsi="Times New Roman"/>
                <w:b/>
                <w:sz w:val="24"/>
                <w:szCs w:val="24"/>
              </w:rPr>
            </w:pPr>
          </w:p>
        </w:tc>
        <w:tc>
          <w:tcPr>
            <w:tcW w:w="2270"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APPRECIATES</w:t>
            </w:r>
          </w:p>
        </w:tc>
        <w:tc>
          <w:tcPr>
            <w:tcW w:w="2508" w:type="dxa"/>
            <w:tcBorders/>
          </w:tcPr>
          <w:p>
            <w:pPr>
              <w:pStyle w:val="style0"/>
              <w:rPr>
                <w:rFonts w:ascii="Times New Roman" w:cs="Times New Roman" w:hAnsi="Times New Roman"/>
                <w:b/>
                <w:sz w:val="24"/>
                <w:szCs w:val="24"/>
              </w:rPr>
            </w:pPr>
            <w:r>
              <w:rPr>
                <w:rFonts w:ascii="Times New Roman" w:cs="Times New Roman" w:hAnsi="Times New Roman"/>
                <w:b/>
                <w:sz w:val="24"/>
                <w:szCs w:val="24"/>
              </w:rPr>
              <w:t>DEPRECIATES</w:t>
            </w:r>
          </w:p>
        </w:tc>
      </w:tr>
      <w:tr>
        <w:tblPrEx/>
        <w:trPr>
          <w:trHeight w:val="517" w:hRule="atLeast"/>
        </w:trPr>
        <w:tc>
          <w:tcPr>
            <w:tcW w:w="3757" w:type="dxa"/>
            <w:vMerge w:val="continue"/>
            <w:tcBorders/>
          </w:tcPr>
          <w:p>
            <w:pPr>
              <w:pStyle w:val="style0"/>
              <w:rPr>
                <w:rFonts w:ascii="Times New Roman" w:cs="Times New Roman" w:hAnsi="Times New Roman"/>
                <w:b/>
                <w:sz w:val="24"/>
                <w:szCs w:val="24"/>
              </w:rPr>
            </w:pPr>
          </w:p>
        </w:tc>
        <w:tc>
          <w:tcPr>
            <w:tcW w:w="2270" w:type="dxa"/>
            <w:vMerge w:val="restart"/>
            <w:tcBorders/>
          </w:tcPr>
          <w:p>
            <w:pPr>
              <w:pStyle w:val="style0"/>
              <w:rPr>
                <w:rFonts w:ascii="Times New Roman" w:cs="Times New Roman" w:hAnsi="Times New Roman"/>
                <w:b/>
                <w:sz w:val="24"/>
                <w:szCs w:val="24"/>
              </w:rPr>
            </w:pPr>
            <w:r>
              <w:rPr>
                <w:rFonts w:ascii="Times New Roman" w:cs="Times New Roman" w:hAnsi="Times New Roman"/>
                <w:sz w:val="24"/>
                <w:szCs w:val="24"/>
              </w:rPr>
              <w:t>Positive Translation adjustment</w:t>
            </w:r>
          </w:p>
        </w:tc>
        <w:tc>
          <w:tcPr>
            <w:tcW w:w="2508" w:type="dxa"/>
            <w:vMerge w:val="restart"/>
            <w:tcBorders/>
          </w:tcPr>
          <w:p>
            <w:pPr>
              <w:pStyle w:val="style0"/>
              <w:rPr>
                <w:rFonts w:ascii="Times New Roman" w:cs="Times New Roman" w:hAnsi="Times New Roman"/>
                <w:b/>
                <w:sz w:val="24"/>
                <w:szCs w:val="24"/>
              </w:rPr>
            </w:pPr>
            <w:r>
              <w:rPr>
                <w:rFonts w:ascii="Times New Roman" w:cs="Times New Roman" w:hAnsi="Times New Roman"/>
                <w:sz w:val="24"/>
                <w:szCs w:val="24"/>
              </w:rPr>
              <w:t>Negative Translation adjustment</w:t>
            </w:r>
          </w:p>
        </w:tc>
      </w:tr>
      <w:tr>
        <w:tblPrEx/>
        <w:trPr>
          <w:trHeight w:val="517" w:hRule="atLeast"/>
        </w:trPr>
        <w:tc>
          <w:tcPr>
            <w:tcW w:w="3757" w:type="dxa"/>
            <w:vMerge w:val="restart"/>
            <w:tcBorders/>
          </w:tcPr>
          <w:p>
            <w:pPr>
              <w:pStyle w:val="style0"/>
              <w:rPr>
                <w:rFonts w:ascii="Times New Roman" w:cs="Times New Roman" w:hAnsi="Times New Roman"/>
                <w:sz w:val="24"/>
                <w:szCs w:val="24"/>
              </w:rPr>
            </w:pPr>
            <w:r>
              <w:rPr>
                <w:rFonts w:ascii="Times New Roman" w:cs="Times New Roman" w:hAnsi="Times New Roman"/>
                <w:sz w:val="24"/>
                <w:szCs w:val="24"/>
              </w:rPr>
              <w:t>NET ASSET</w:t>
            </w:r>
          </w:p>
        </w:tc>
        <w:tc>
          <w:tcPr>
            <w:tcW w:w="2270" w:type="dxa"/>
            <w:vMerge w:val="continue"/>
            <w:tcBorders/>
          </w:tcPr>
          <w:p>
            <w:pPr>
              <w:pStyle w:val="style0"/>
              <w:rPr>
                <w:rFonts w:ascii="Times New Roman" w:cs="Times New Roman" w:hAnsi="Times New Roman"/>
                <w:sz w:val="24"/>
                <w:szCs w:val="24"/>
              </w:rPr>
            </w:pPr>
          </w:p>
        </w:tc>
        <w:tc>
          <w:tcPr>
            <w:tcW w:w="2508" w:type="dxa"/>
            <w:vMerge w:val="continue"/>
            <w:tcBorders/>
          </w:tcPr>
          <w:p>
            <w:pPr>
              <w:pStyle w:val="style0"/>
              <w:rPr>
                <w:rFonts w:ascii="Times New Roman" w:cs="Times New Roman" w:hAnsi="Times New Roman"/>
                <w:sz w:val="24"/>
                <w:szCs w:val="24"/>
              </w:rPr>
            </w:pPr>
          </w:p>
        </w:tc>
      </w:tr>
      <w:tr>
        <w:tblPrEx/>
        <w:trPr>
          <w:trHeight w:val="517" w:hRule="atLeast"/>
        </w:trPr>
        <w:tc>
          <w:tcPr>
            <w:tcW w:w="3757" w:type="dxa"/>
            <w:vMerge w:val="continue"/>
            <w:tcBorders/>
          </w:tcPr>
          <w:p>
            <w:pPr>
              <w:pStyle w:val="style0"/>
              <w:rPr>
                <w:rFonts w:ascii="Times New Roman" w:cs="Times New Roman" w:hAnsi="Times New Roman"/>
                <w:sz w:val="24"/>
                <w:szCs w:val="24"/>
              </w:rPr>
            </w:pPr>
          </w:p>
        </w:tc>
        <w:tc>
          <w:tcPr>
            <w:tcW w:w="2270" w:type="dxa"/>
            <w:vMerge w:val="restart"/>
            <w:tcBorders/>
          </w:tcPr>
          <w:p>
            <w:pPr>
              <w:pStyle w:val="style0"/>
              <w:rPr>
                <w:rFonts w:ascii="Times New Roman" w:cs="Times New Roman" w:hAnsi="Times New Roman"/>
                <w:sz w:val="24"/>
                <w:szCs w:val="24"/>
              </w:rPr>
            </w:pPr>
            <w:r>
              <w:rPr>
                <w:rFonts w:ascii="Times New Roman" w:cs="Times New Roman" w:hAnsi="Times New Roman"/>
                <w:sz w:val="24"/>
                <w:szCs w:val="24"/>
              </w:rPr>
              <w:t>Negative Translation adjustment</w:t>
            </w:r>
          </w:p>
        </w:tc>
        <w:tc>
          <w:tcPr>
            <w:tcW w:w="2508" w:type="dxa"/>
            <w:vMerge w:val="restart"/>
            <w:tcBorders/>
          </w:tcPr>
          <w:p>
            <w:pPr>
              <w:pStyle w:val="style0"/>
              <w:rPr>
                <w:rFonts w:ascii="Times New Roman" w:cs="Times New Roman" w:hAnsi="Times New Roman"/>
                <w:sz w:val="24"/>
                <w:szCs w:val="24"/>
              </w:rPr>
            </w:pPr>
            <w:r>
              <w:rPr>
                <w:rFonts w:ascii="Times New Roman" w:cs="Times New Roman" w:hAnsi="Times New Roman"/>
                <w:sz w:val="24"/>
                <w:szCs w:val="24"/>
              </w:rPr>
              <w:t>Positive Translation adjustment</w:t>
            </w:r>
          </w:p>
        </w:tc>
      </w:tr>
      <w:tr>
        <w:tblPrEx/>
        <w:trPr>
          <w:trHeight w:val="494" w:hRule="atLeast"/>
        </w:trPr>
        <w:tc>
          <w:tcPr>
            <w:tcW w:w="3757" w:type="dxa"/>
            <w:tcBorders/>
          </w:tcPr>
          <w:p>
            <w:pPr>
              <w:pStyle w:val="style0"/>
              <w:rPr>
                <w:rFonts w:ascii="Times New Roman" w:cs="Times New Roman" w:hAnsi="Times New Roman"/>
                <w:sz w:val="24"/>
                <w:szCs w:val="24"/>
              </w:rPr>
            </w:pPr>
            <w:r>
              <w:rPr>
                <w:rFonts w:ascii="Times New Roman" w:cs="Times New Roman" w:hAnsi="Times New Roman"/>
                <w:sz w:val="24"/>
                <w:szCs w:val="24"/>
              </w:rPr>
              <w:t>NET LIABILITY</w:t>
            </w:r>
          </w:p>
        </w:tc>
        <w:tc>
          <w:tcPr>
            <w:tcW w:w="2270" w:type="dxa"/>
            <w:vMerge w:val="continue"/>
            <w:tcBorders/>
          </w:tcPr>
          <w:p>
            <w:pPr>
              <w:pStyle w:val="style0"/>
              <w:rPr>
                <w:rFonts w:ascii="Times New Roman" w:cs="Times New Roman" w:hAnsi="Times New Roman"/>
                <w:sz w:val="24"/>
                <w:szCs w:val="24"/>
              </w:rPr>
            </w:pPr>
          </w:p>
        </w:tc>
        <w:tc>
          <w:tcPr>
            <w:tcW w:w="2508" w:type="dxa"/>
            <w:vMerge w:val="continue"/>
            <w:tcBorders/>
          </w:tcPr>
          <w:p>
            <w:pPr>
              <w:pStyle w:val="style0"/>
              <w:rPr>
                <w:rFonts w:ascii="Times New Roman" w:cs="Times New Roman" w:hAnsi="Times New Roman"/>
                <w:sz w:val="24"/>
                <w:szCs w:val="24"/>
              </w:rPr>
            </w:pPr>
          </w:p>
        </w:tc>
      </w:tr>
      <w:tr>
        <w:tblPrEx/>
        <w:trPr>
          <w:trHeight w:val="517" w:hRule="atLeast"/>
        </w:trPr>
        <w:tc>
          <w:tcPr>
            <w:tcW w:w="3757" w:type="dxa"/>
            <w:vMerge w:val="restart"/>
            <w:tcBorders>
              <w:left w:val="nil"/>
              <w:right w:val="nil"/>
            </w:tcBorders>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c>
        <w:tc>
          <w:tcPr>
            <w:tcW w:w="4778" w:type="dxa"/>
            <w:gridSpan w:val="2"/>
            <w:tcBorders>
              <w:left w:val="nil"/>
              <w:bottom w:val="nil"/>
              <w:right w:val="nil"/>
            </w:tcBorders>
          </w:tcPr>
          <w:p>
            <w:pPr>
              <w:pStyle w:val="style0"/>
              <w:rPr>
                <w:rFonts w:ascii="Times New Roman" w:cs="Times New Roman" w:hAnsi="Times New Roman"/>
                <w:sz w:val="24"/>
                <w:szCs w:val="24"/>
              </w:rPr>
            </w:pPr>
          </w:p>
        </w:tc>
      </w:tr>
      <w:tr>
        <w:tblPrEx/>
        <w:trPr>
          <w:gridAfter w:val="2"/>
          <w:wAfter w:w="4778" w:type="dxa"/>
          <w:trHeight w:val="596" w:hRule="atLeast"/>
        </w:trPr>
        <w:tc>
          <w:tcPr>
            <w:tcW w:w="3757" w:type="dxa"/>
            <w:vMerge w:val="continue"/>
            <w:tcBorders>
              <w:left w:val="nil"/>
              <w:bottom w:val="nil"/>
              <w:right w:val="nil"/>
            </w:tcBorders>
          </w:tcPr>
          <w:p>
            <w:pPr>
              <w:pStyle w:val="style0"/>
              <w:rPr>
                <w:rFonts w:ascii="Times New Roman" w:cs="Times New Roman" w:hAnsi="Times New Roman"/>
                <w:sz w:val="24"/>
                <w:szCs w:val="24"/>
              </w:rPr>
            </w:pPr>
          </w:p>
        </w:tc>
      </w:tr>
    </w:tbl>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TRANSLATION METHODS   </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Current/Noncurrent Method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rules for the current/noncurrent method are as follows: current assets and current liabilities are translated at the current exchange rate; noncurrent assets, noncurrent liabilities, and stockholders’ equity accounts are translated at historical exchange rates. There is no theoretical basis underlying this method. Although once the predominant method, the current/noncurrent method has been unacceptable in the United States since 1975, has never been allowed under International Financial Reporting Standards, and is seldom used in other countries.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Monetary/Nonmonetary Method;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Under the monetary/nonmonetary method, cash, receivables, and payables carried on the foreign operation’s Statement of Financial Position are exposed to foreign exchange risk. There is a net </w:t>
      </w:r>
      <w:r>
        <w:rPr>
          <w:rFonts w:ascii="Times New Roman" w:cs="Times New Roman" w:hAnsi="Times New Roman"/>
          <w:sz w:val="24"/>
          <w:szCs w:val="24"/>
        </w:rPr>
        <w:t>asset exposure when cash plus receivables exceed payables, and a net liability exposure when payables exceed cash plus receivables.</w:t>
      </w:r>
    </w:p>
    <w:p>
      <w:pPr>
        <w:pStyle w:val="style0"/>
        <w:spacing w:lineRule="auto" w:line="480"/>
        <w:rPr>
          <w:rFonts w:ascii="Times New Roman" w:cs="Times New Roman" w:hAnsi="Times New Roman"/>
          <w:sz w:val="24"/>
          <w:szCs w:val="24"/>
        </w:rPr>
      </w:pPr>
      <w:r>
        <w:rPr>
          <w:rFonts w:ascii="Times New Roman" w:cs="Times New Roman" w:hAnsi="Times New Roman"/>
          <w:b/>
          <w:sz w:val="24"/>
          <w:szCs w:val="24"/>
        </w:rPr>
        <w:t>Temporal Method</w:t>
      </w:r>
      <w:r>
        <w:rPr>
          <w:rFonts w:ascii="Times New Roman" w:cs="Times New Roman" w:hAnsi="Times New Roman"/>
          <w:b/>
          <w:sz w:val="24"/>
          <w:szCs w:val="24"/>
        </w:rPr>
        <w: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basic objective underlying the temporal method of translation is to produce a set of parent currency translated financial statements as if the foreign subsidiary had actually used the parent currency in conducting its operations. </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Current Rate Method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1A5C8E"/>
    <w:lvl w:ilvl="0" w:tplc="AB1C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499</Words>
  <Pages>3</Pages>
  <Characters>3107</Characters>
  <Application>WPS Office</Application>
  <DocSecurity>0</DocSecurity>
  <Paragraphs>45</Paragraphs>
  <ScaleCrop>false</ScaleCrop>
  <LinksUpToDate>false</LinksUpToDate>
  <CharactersWithSpaces>3620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2020-04-15T09:44:48Z</dcterms:created>
  <dc:creator>Windows User</dc:creator>
  <lastModifiedBy>Infinix X650B</lastModifiedBy>
  <dcterms:modified xsi:type="dcterms:W3CDTF">2020-04-15T09:44:48Z</dcterms:modified>
  <revision>44</revision>
</coreProperties>
</file>

<file path=docProps/custom.xml><?xml version="1.0" encoding="utf-8"?>
<Properties xmlns="http://schemas.openxmlformats.org/officeDocument/2006/custom-properties" xmlns:vt="http://schemas.openxmlformats.org/officeDocument/2006/docPropsVTypes"/>
</file>