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N</w:t>
      </w:r>
      <w:r>
        <w:rPr>
          <w:rFonts w:cs="Times New Roman" w:hAnsi="Times New Roman"/>
          <w:sz w:val="24"/>
          <w:szCs w:val="24"/>
          <w:lang w:val="en-US"/>
        </w:rPr>
        <w:t xml:space="preserve">AME: KELVIN DAKORU MARK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MATRIC NUMBER</w:t>
      </w:r>
      <w:r>
        <w:rPr>
          <w:rFonts w:ascii="Times New Roman" w:cs="Times New Roman" w:hAnsi="Times New Roman"/>
          <w:sz w:val="24"/>
          <w:szCs w:val="24"/>
          <w:lang w:val="en-US"/>
        </w:rPr>
        <w:t>:17</w:t>
      </w:r>
      <w:r>
        <w:rPr>
          <w:rFonts w:ascii="Times New Roman" w:cs="Times New Roman" w:hAnsi="Times New Roman"/>
          <w:sz w:val="24"/>
          <w:szCs w:val="24"/>
          <w:lang w:val="en-US"/>
        </w:rPr>
        <w:t>/MHS07</w:t>
      </w:r>
      <w:r>
        <w:rPr>
          <w:rFonts w:ascii="Times New Roman" w:cs="Times New Roman" w:hAnsi="Times New Roman"/>
          <w:sz w:val="24"/>
          <w:szCs w:val="24"/>
          <w:lang w:val="en-US"/>
        </w:rPr>
        <w:t>/007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COURSE CODE</w:t>
      </w:r>
      <w:r>
        <w:rPr>
          <w:rFonts w:ascii="Times New Roman" w:cs="Times New Roman" w:hAnsi="Times New Roman"/>
          <w:sz w:val="24"/>
          <w:szCs w:val="24"/>
          <w:lang w:val="en-US"/>
        </w:rPr>
        <w:t>:PHA 308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DEPARTMENT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: PHARMACOLOGY 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MOCK TEST ANSWERS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Blood-brain barrier and </w:t>
      </w:r>
      <w:r>
        <w:rPr>
          <w:rFonts w:cs="Times New Roman" w:hAnsi="Times New Roman"/>
          <w:sz w:val="24"/>
          <w:szCs w:val="24"/>
          <w:lang w:val="en-US"/>
        </w:rPr>
        <w:t>blood--CSF BARRIER</w:t>
      </w:r>
    </w:p>
    <w:bookmarkStart w:id="0" w:name="_GoBack"/>
    <w:bookmarkEnd w:id="0"/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Neurotransmitter Synthesis.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Neurotransmitter Packaging 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Neurotransmi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tters </w:t>
      </w:r>
      <w:r>
        <w:rPr>
          <w:rFonts w:ascii="Times New Roman" w:cs="Times New Roman" w:hAnsi="Times New Roman"/>
          <w:sz w:val="24"/>
          <w:szCs w:val="24"/>
          <w:lang w:val="en-US"/>
        </w:rPr>
        <w:t>Release.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Neurotransmitter Binding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Stopping the Chemical Signal</w:t>
      </w:r>
    </w:p>
    <w:p>
      <w:pPr>
        <w:pStyle w:val="style179"/>
        <w:numPr>
          <w:ilvl w:val="0"/>
          <w:numId w:val="1"/>
        </w:numPr>
        <w:spacing w:before="100" w:beforeAutospacing="true" w:after="24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shd w:val="clear" w:color="auto" w:fill="ffffff"/>
        </w:rPr>
        <w:t>α-amino-3-hydroxy-5-methyl-4-isoxazolepropionic acid (AMPA) and N-methyl-d-aspartate (NMDA) for glutamate</w:t>
      </w:r>
    </w:p>
    <w:p>
      <w:pPr>
        <w:pStyle w:val="style179"/>
        <w:numPr>
          <w:ilvl w:val="0"/>
          <w:numId w:val="1"/>
        </w:numPr>
        <w:spacing w:before="100" w:beforeAutospacing="true" w:after="24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>Glycine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 xml:space="preserve"> and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 xml:space="preserve"> GABA (</w:t>
      </w:r>
      <w:r>
        <w:rPr>
          <w:rFonts w:ascii="Times New Roman" w:cs="Times New Roman" w:eastAsia="Times New Roman" w:hAnsi="Times New Roman"/>
          <w:sz w:val="24"/>
          <w:szCs w:val="24"/>
          <w:lang w:val="el-GR"/>
        </w:rPr>
        <w:t>γ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>-Amino butyric acid) opens Cl</w:t>
      </w:r>
      <w:r>
        <w:rPr>
          <w:rFonts w:ascii="Times New Roman" w:cs="Times New Roman" w:eastAsia="Times New Roman" w:hAnsi="Times New Roman"/>
          <w:sz w:val="24"/>
          <w:szCs w:val="24"/>
          <w:vertAlign w:val="superscript"/>
          <w:lang w:val="en-US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>channels ,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 xml:space="preserve"> resulting in post-synaptic target hyperpolarization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>.</w:t>
      </w:r>
    </w:p>
    <w:p>
      <w:pPr>
        <w:pStyle w:val="style179"/>
        <w:numPr>
          <w:ilvl w:val="0"/>
          <w:numId w:val="1"/>
        </w:numPr>
        <w:spacing w:before="100" w:beforeAutospacing="true" w:after="24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 xml:space="preserve">Glutamate </w:t>
      </w:r>
    </w:p>
    <w:p>
      <w:pPr>
        <w:pStyle w:val="style179"/>
        <w:numPr>
          <w:ilvl w:val="0"/>
          <w:numId w:val="1"/>
        </w:numPr>
        <w:spacing w:before="100" w:beforeAutospacing="true" w:after="24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>Do</w:t>
      </w:r>
      <w:r>
        <w:rPr>
          <w:rFonts w:cs="Times New Roman" w:eastAsia="Times New Roman" w:hAnsi="Times New Roman"/>
          <w:sz w:val="24"/>
          <w:szCs w:val="24"/>
          <w:lang w:val="en-US"/>
        </w:rPr>
        <w:t>pamine</w:t>
      </w:r>
    </w:p>
    <w:p>
      <w:pPr>
        <w:pStyle w:val="style179"/>
        <w:numPr>
          <w:ilvl w:val="0"/>
          <w:numId w:val="1"/>
        </w:numPr>
        <w:spacing w:before="100" w:beforeAutospacing="true" w:after="24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 xml:space="preserve">Serotonin and </w:t>
      </w:r>
    </w:p>
    <w:p>
      <w:pPr>
        <w:pStyle w:val="style179"/>
        <w:numPr>
          <w:ilvl w:val="0"/>
          <w:numId w:val="1"/>
        </w:numPr>
        <w:spacing w:before="100" w:beforeAutospacing="true" w:after="24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>Parkinson’s diseases</w:t>
      </w:r>
    </w:p>
    <w:p>
      <w:pPr>
        <w:pStyle w:val="style179"/>
        <w:numPr>
          <w:ilvl w:val="0"/>
          <w:numId w:val="1"/>
        </w:numPr>
        <w:spacing w:before="100" w:beforeAutospacing="true" w:after="24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>Sedative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>, Hypnotics</w:t>
      </w:r>
    </w:p>
    <w:p>
      <w:pPr>
        <w:pStyle w:val="style179"/>
        <w:numPr>
          <w:ilvl w:val="0"/>
          <w:numId w:val="1"/>
        </w:numPr>
        <w:spacing w:before="100" w:beforeAutospacing="true" w:after="24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4"/>
        </w:numPr>
        <w:spacing w:before="100" w:beforeAutospacing="true" w:after="24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 xml:space="preserve">Benzodiazepines enhance the effect of the neurotransmitter gamma-aminobutyric acid (GABA) at the GABAA receptor. </w:t>
      </w:r>
    </w:p>
    <w:p>
      <w:pPr>
        <w:pStyle w:val="style179"/>
        <w:numPr>
          <w:ilvl w:val="0"/>
          <w:numId w:val="4"/>
        </w:numPr>
        <w:spacing w:before="100" w:beforeAutospacing="true" w:after="24" w:lineRule="auto" w:line="240"/>
        <w:rPr>
          <w:rFonts w:ascii="Times New Roman" w:cs="Times New Roman" w:eastAsia="Times New Roman" w:hAnsi="Times New Roman"/>
          <w:sz w:val="24"/>
          <w:szCs w:val="24"/>
          <w:lang w:val="en-US"/>
        </w:rPr>
      </w:pP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>GABA needs to be present for benzodiazepine effects to be detectable</w:t>
      </w:r>
    </w:p>
    <w:p>
      <w:pPr>
        <w:pStyle w:val="style179"/>
        <w:numPr>
          <w:ilvl w:val="0"/>
          <w:numId w:val="4"/>
        </w:numPr>
        <w:spacing w:before="100" w:beforeAutospacing="true" w:after="24" w:lineRule="auto" w:line="240"/>
        <w:rPr>
          <w:rFonts w:ascii="Times New Roman" w:cs="Times New Roman" w:eastAsia="Times New Roman" w:hAnsi="Times New Roman"/>
          <w:sz w:val="24"/>
          <w:szCs w:val="24"/>
          <w:lang w:val="en-US"/>
        </w:rPr>
      </w:pP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>Benzodiazepines increase the frequency of the chloride ion channel opening, thereby increasing the inhibitory effect of GABA on neuronal excitability</w:t>
      </w:r>
    </w:p>
    <w:p>
      <w:pPr>
        <w:pStyle w:val="style179"/>
        <w:numPr>
          <w:ilvl w:val="0"/>
          <w:numId w:val="4"/>
        </w:numPr>
        <w:spacing w:before="100" w:beforeAutospacing="true" w:after="24" w:lineRule="auto" w:line="240"/>
        <w:rPr>
          <w:rFonts w:ascii="Times New Roman" w:cs="Times New Roman" w:eastAsia="Times New Roman" w:hAnsi="Times New Roman"/>
          <w:sz w:val="24"/>
          <w:szCs w:val="24"/>
          <w:lang w:val="en-US"/>
        </w:rPr>
      </w:pP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>B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>ind to “benzodiazepine receptors” located between alpha and gamma subunits of GABA-A receptor/channel complexes</w:t>
      </w:r>
    </w:p>
    <w:p>
      <w:pPr>
        <w:pStyle w:val="style179"/>
        <w:numPr>
          <w:ilvl w:val="0"/>
          <w:numId w:val="4"/>
        </w:numPr>
        <w:spacing w:before="100" w:beforeAutospacing="true" w:after="24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 xml:space="preserve">Benzodiazepine effects are especially pronounced in the limbic system, thalamus &amp; hypothalamus. </w:t>
      </w:r>
    </w:p>
    <w:p>
      <w:pPr>
        <w:pStyle w:val="style179"/>
        <w:numPr>
          <w:ilvl w:val="0"/>
          <w:numId w:val="1"/>
        </w:numPr>
        <w:spacing w:before="100" w:beforeAutospacing="true" w:after="24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>The monoamine hypothesis of depression predicts that the underlying pathophysiologic basis of depression is a depletion in the levels of serotonin, norepinephrine, and/or dopamine in the central nervous system</w:t>
      </w:r>
      <w:r>
        <w:rPr>
          <w:rFonts w:ascii="Times New Roman" w:cs="Times New Roman" w:hAnsi="Times New Roman"/>
          <w:sz w:val="24"/>
          <w:szCs w:val="24"/>
          <w:shd w:val="clear" w:color="auto" w:fill="ffffff"/>
          <w:lang w:val="en-US"/>
        </w:rPr>
        <w:t>.</w:t>
      </w:r>
      <w:r>
        <w:rPr>
          <w:rFonts w:ascii="Palatino Linotype" w:eastAsia="宋体" w:hAnsi="Palatino Linotype"/>
          <w:kern w:val="24"/>
          <w:sz w:val="36"/>
          <w:szCs w:val="36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shd w:val="clear" w:color="auto" w:fill="ffffff"/>
          <w:lang w:val="en-US"/>
        </w:rPr>
        <w:t>that depression is caused by a functional deficit of the monoamine transmitters, noradrenaline and 5-hydroxytryptamine (5-HT) at certain sites in the brain, while mania results from a functional excess</w:t>
      </w:r>
      <w:r>
        <w:rPr>
          <w:rFonts w:ascii="Times New Roman" w:cs="Times New Roman" w:hAnsi="Times New Roman"/>
          <w:sz w:val="24"/>
          <w:szCs w:val="24"/>
          <w:shd w:val="clear" w:color="auto" w:fill="ffffff"/>
          <w:lang w:val="en-US"/>
        </w:rPr>
        <w:t>.</w:t>
      </w:r>
    </w:p>
    <w:p>
      <w:pPr>
        <w:pStyle w:val="style179"/>
        <w:numPr>
          <w:ilvl w:val="0"/>
          <w:numId w:val="1"/>
        </w:numPr>
        <w:spacing w:before="100" w:beforeAutospacing="true" w:after="24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cs="Times New Roman" w:eastAsia="Times New Roman" w:hAnsi="Times New Roman"/>
          <w:sz w:val="24"/>
          <w:szCs w:val="24"/>
          <w:lang w:val="en-US"/>
        </w:rPr>
        <w:t>Centrally acting drugs act via the following broad mechanisms</w:t>
      </w:r>
    </w:p>
    <w:p>
      <w:pPr>
        <w:pStyle w:val="style179"/>
        <w:numPr>
          <w:ilvl w:val="0"/>
          <w:numId w:val="5"/>
        </w:numPr>
        <w:spacing w:before="100" w:beforeAutospacing="true" w:after="24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cs="Times New Roman" w:eastAsia="Times New Roman" w:hAnsi="Times New Roman"/>
          <w:sz w:val="24"/>
          <w:szCs w:val="24"/>
          <w:lang w:val="en-US"/>
        </w:rPr>
        <w:t>Transmitter-specific action</w:t>
      </w:r>
      <w:r>
        <w:rPr>
          <w:rFonts w:cs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eastAsia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9"/>
        </w:numPr>
        <w:spacing w:before="100" w:beforeAutospacing="true" w:after="24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cs="Times New Roman" w:eastAsia="Times New Roman" w:hAnsi="Times New Roman"/>
          <w:sz w:val="24"/>
          <w:szCs w:val="24"/>
          <w:lang w:val="en-US"/>
        </w:rPr>
        <w:t>Neuron-specific action</w:t>
      </w:r>
      <w:r>
        <w:rPr>
          <w:rFonts w:cs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eastAsia="Times New Roman" w:hAnsi="Times New Roman" w:hint="default"/>
          <w:sz w:val="24"/>
          <w:szCs w:val="24"/>
          <w:lang w:val="en-US"/>
        </w:rPr>
        <w:t>(true)</w:t>
      </w:r>
      <w:r>
        <w:rPr>
          <w:rFonts w:cs="Times New Roman" w:eastAsia="Times New Roman" w:hAnsi="Times New Roman" w:hint="default"/>
          <w:sz w:val="24"/>
          <w:szCs w:val="24"/>
          <w:lang w:val="en-US"/>
        </w:rPr>
        <w:t xml:space="preserve"> </w:t>
      </w:r>
    </w:p>
    <w:p>
      <w:pPr>
        <w:pStyle w:val="style179"/>
        <w:numPr>
          <w:ilvl w:val="0"/>
          <w:numId w:val="10"/>
        </w:numPr>
        <w:spacing w:before="100" w:beforeAutospacing="true" w:after="24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cs="Times New Roman" w:eastAsia="Times New Roman" w:hAnsi="Times New Roman"/>
          <w:sz w:val="24"/>
          <w:szCs w:val="24"/>
          <w:lang w:val="en-US"/>
        </w:rPr>
        <w:t>Signal-specific action</w:t>
      </w:r>
      <w:r>
        <w:rPr>
          <w:rFonts w:cs="Times New Roman" w:eastAsia="Times New Roman" w:hAnsi="Times New Roman" w:hint="default"/>
          <w:sz w:val="24"/>
          <w:szCs w:val="24"/>
          <w:lang w:val="en-US"/>
        </w:rPr>
        <w:t>(true)</w:t>
      </w:r>
      <w:r>
        <w:rPr>
          <w:rFonts w:cs="Times New Roman" w:eastAsia="Times New Roman" w:hAnsi="Times New Roman" w:hint="default"/>
          <w:sz w:val="24"/>
          <w:szCs w:val="24"/>
          <w:lang w:val="en-US"/>
        </w:rPr>
        <w:t xml:space="preserve"> </w:t>
      </w:r>
    </w:p>
    <w:p>
      <w:pPr>
        <w:pStyle w:val="style179"/>
        <w:numPr>
          <w:ilvl w:val="0"/>
          <w:numId w:val="11"/>
        </w:numPr>
        <w:spacing w:before="100" w:beforeAutospacing="true" w:after="24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cs="Times New Roman" w:eastAsia="Times New Roman" w:hAnsi="Times New Roman"/>
          <w:sz w:val="24"/>
          <w:szCs w:val="24"/>
          <w:lang w:val="en-US"/>
        </w:rPr>
        <w:t>All of the above</w:t>
      </w:r>
      <w:r>
        <w:rPr>
          <w:rFonts w:cs="Times New Roman" w:eastAsia="Times New Roman" w:hAnsi="Times New Roman" w:hint="default"/>
          <w:sz w:val="24"/>
          <w:szCs w:val="24"/>
          <w:lang w:val="en-US"/>
        </w:rPr>
        <w:t>(true)</w:t>
      </w:r>
      <w:r>
        <w:rPr>
          <w:rFonts w:cs="Times New Roman" w:eastAsia="Times New Roman" w:hAnsi="Times New Roman" w:hint="default"/>
          <w:sz w:val="24"/>
          <w:szCs w:val="24"/>
          <w:lang w:val="en-US"/>
        </w:rPr>
        <w:t xml:space="preserve"> </w:t>
      </w:r>
    </w:p>
    <w:p>
      <w:pPr>
        <w:pStyle w:val="style179"/>
        <w:numPr>
          <w:ilvl w:val="0"/>
          <w:numId w:val="1"/>
        </w:numPr>
        <w:spacing w:before="100" w:beforeAutospacing="true" w:after="24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cs="Times New Roman" w:eastAsia="Times New Roman" w:hAnsi="Times New Roman"/>
          <w:sz w:val="24"/>
          <w:szCs w:val="24"/>
          <w:lang w:val="en-US"/>
        </w:rPr>
        <w:t>These targets is/are of significance in the treatment of depression</w:t>
      </w:r>
    </w:p>
    <w:p>
      <w:pPr>
        <w:pStyle w:val="style179"/>
        <w:numPr>
          <w:ilvl w:val="0"/>
          <w:numId w:val="6"/>
        </w:numPr>
        <w:spacing w:before="100" w:beforeAutospacing="true" w:after="24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cs="Times New Roman" w:eastAsia="Times New Roman" w:hAnsi="Times New Roman"/>
          <w:sz w:val="24"/>
          <w:szCs w:val="24"/>
          <w:lang w:val="en-US"/>
        </w:rPr>
        <w:t>Selective serotonin reuptake inhibitors</w:t>
      </w:r>
      <w:r>
        <w:rPr>
          <w:rFonts w:cs="Times New Roman" w:eastAsia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6"/>
        </w:numPr>
        <w:spacing w:before="100" w:beforeAutospacing="true" w:after="24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cs="Times New Roman" w:eastAsia="Times New Roman" w:hAnsi="Times New Roman"/>
          <w:sz w:val="24"/>
          <w:szCs w:val="24"/>
          <w:lang w:val="en-US"/>
        </w:rPr>
        <w:t>Serotonin-noradrenaline reuptake</w:t>
      </w:r>
      <w:r>
        <w:rPr>
          <w:rFonts w:cs="Times New Roman" w:eastAsia="Times New Roman" w:hAnsi="Times New Roman"/>
          <w:sz w:val="24"/>
          <w:szCs w:val="24"/>
          <w:lang w:val="en-US"/>
        </w:rPr>
        <w:t xml:space="preserve">antagonists (true) </w:t>
      </w:r>
    </w:p>
    <w:p>
      <w:pPr>
        <w:pStyle w:val="style179"/>
        <w:numPr>
          <w:ilvl w:val="0"/>
          <w:numId w:val="6"/>
        </w:numPr>
        <w:spacing w:before="100" w:beforeAutospacing="true" w:after="24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cs="Times New Roman" w:eastAsia="Times New Roman" w:hAnsi="Times New Roman"/>
          <w:sz w:val="24"/>
          <w:szCs w:val="24"/>
          <w:lang w:val="en-US"/>
        </w:rPr>
        <w:t>NMDA receptor antagonists</w:t>
      </w:r>
      <w:r>
        <w:rPr>
          <w:rFonts w:cs="Times New Roman" w:eastAsia="Times New Roman" w:hAnsi="Times New Roman"/>
          <w:sz w:val="24"/>
          <w:szCs w:val="24"/>
          <w:lang w:val="en-US"/>
        </w:rPr>
        <w:t xml:space="preserve"> (false) </w:t>
      </w:r>
    </w:p>
    <w:p>
      <w:pPr>
        <w:pStyle w:val="style179"/>
        <w:numPr>
          <w:ilvl w:val="0"/>
          <w:numId w:val="6"/>
        </w:numPr>
        <w:spacing w:before="100" w:beforeAutospacing="true" w:after="24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cs="Times New Roman" w:eastAsia="Times New Roman" w:hAnsi="Times New Roman"/>
          <w:sz w:val="24"/>
          <w:szCs w:val="24"/>
          <w:lang w:val="en-US"/>
        </w:rPr>
        <w:t>Calcium channel blockers</w:t>
      </w:r>
      <w:r>
        <w:rPr>
          <w:rFonts w:cs="Times New Roman" w:eastAsia="Times New Roman" w:hAnsi="Times New Roman"/>
          <w:sz w:val="24"/>
          <w:szCs w:val="24"/>
          <w:lang w:val="en-US"/>
        </w:rPr>
        <w:t xml:space="preserve"> (false) </w:t>
      </w:r>
    </w:p>
    <w:p>
      <w:pPr>
        <w:pStyle w:val="style179"/>
        <w:numPr>
          <w:ilvl w:val="0"/>
          <w:numId w:val="1"/>
        </w:numPr>
        <w:spacing w:before="100" w:beforeAutospacing="true" w:after="24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cs="Times New Roman" w:eastAsia="Times New Roman" w:hAnsi="Times New Roman"/>
          <w:sz w:val="24"/>
          <w:szCs w:val="24"/>
          <w:lang w:val="en-US"/>
        </w:rPr>
        <w:t>Match the following antidepressants with their respective groups</w:t>
      </w:r>
    </w:p>
    <w:p>
      <w:pPr>
        <w:pStyle w:val="style179"/>
        <w:numPr>
          <w:ilvl w:val="0"/>
          <w:numId w:val="7"/>
        </w:numPr>
        <w:spacing w:before="100" w:beforeAutospacing="true" w:after="24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cs="Times New Roman" w:eastAsia="Times New Roman" w:hAnsi="Times New Roman"/>
          <w:sz w:val="24"/>
          <w:szCs w:val="24"/>
          <w:lang w:val="en-US"/>
        </w:rPr>
        <w:t>Tricyclic antidepressant e.g. amitriptyline</w:t>
      </w:r>
      <w:r>
        <w:rPr>
          <w:rFonts w:cs="Times New Roman" w:eastAsia="Times New Roman" w:hAnsi="Times New Roman"/>
          <w:sz w:val="24"/>
          <w:szCs w:val="24"/>
          <w:lang w:val="en-US"/>
        </w:rPr>
        <w:t xml:space="preserve"> (true) </w:t>
      </w:r>
    </w:p>
    <w:p>
      <w:pPr>
        <w:pStyle w:val="style179"/>
        <w:numPr>
          <w:ilvl w:val="0"/>
          <w:numId w:val="7"/>
        </w:numPr>
        <w:spacing w:before="100" w:beforeAutospacing="true" w:after="24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cs="Times New Roman" w:eastAsia="Times New Roman" w:hAnsi="Times New Roman"/>
          <w:sz w:val="24"/>
          <w:szCs w:val="24"/>
          <w:lang w:val="en-US"/>
        </w:rPr>
        <w:t xml:space="preserve">Irreversible monoamine oxidase inhibitor e.g. mianserin </w:t>
      </w:r>
      <w:r>
        <w:rPr>
          <w:rFonts w:cs="Times New Roman" w:eastAsia="Times New Roman" w:hAnsi="Times New Roman"/>
          <w:sz w:val="24"/>
          <w:szCs w:val="24"/>
          <w:lang w:val="en-US"/>
        </w:rPr>
        <w:t xml:space="preserve">(false) </w:t>
      </w:r>
    </w:p>
    <w:p>
      <w:pPr>
        <w:pStyle w:val="style179"/>
        <w:numPr>
          <w:ilvl w:val="0"/>
          <w:numId w:val="7"/>
        </w:numPr>
        <w:spacing w:before="100" w:beforeAutospacing="true" w:after="24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cs="Times New Roman" w:eastAsia="Times New Roman" w:hAnsi="Times New Roman"/>
          <w:sz w:val="24"/>
          <w:szCs w:val="24"/>
          <w:lang w:val="en-US"/>
        </w:rPr>
        <w:t>Monoamine receptor antagonist e.g. phenelzine</w:t>
      </w:r>
      <w:r>
        <w:rPr>
          <w:rFonts w:cs="Times New Roman" w:eastAsia="Times New Roman" w:hAnsi="Times New Roman"/>
          <w:sz w:val="24"/>
          <w:szCs w:val="24"/>
          <w:lang w:val="en-US"/>
        </w:rPr>
        <w:t xml:space="preserve"> (true) </w:t>
      </w:r>
    </w:p>
    <w:p>
      <w:pPr>
        <w:pStyle w:val="style179"/>
        <w:numPr>
          <w:ilvl w:val="0"/>
          <w:numId w:val="7"/>
        </w:numPr>
        <w:spacing w:before="100" w:beforeAutospacing="true" w:after="24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cs="Times New Roman" w:eastAsia="Times New Roman" w:hAnsi="Times New Roman"/>
          <w:sz w:val="24"/>
          <w:szCs w:val="24"/>
          <w:lang w:val="en-US"/>
        </w:rPr>
        <w:t>Tricyclic antidepressant e.g. imipramine</w:t>
      </w:r>
      <w:r>
        <w:rPr>
          <w:rFonts w:cs="Times New Roman" w:eastAsia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1"/>
        </w:numPr>
        <w:spacing w:before="100" w:beforeAutospacing="true" w:after="24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cs="Times New Roman" w:eastAsia="Times New Roman" w:hAnsi="Times New Roman"/>
          <w:sz w:val="24"/>
          <w:szCs w:val="24"/>
          <w:lang w:val="en-US"/>
        </w:rPr>
        <w:t>The differences between brain and peripheral capillary bed includes:</w:t>
      </w:r>
    </w:p>
    <w:p>
      <w:pPr>
        <w:pStyle w:val="style179"/>
        <w:numPr>
          <w:ilvl w:val="0"/>
          <w:numId w:val="8"/>
        </w:numPr>
        <w:spacing w:before="100" w:beforeAutospacing="true" w:after="24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cs="Times New Roman" w:eastAsia="Times New Roman" w:hAnsi="Times New Roman"/>
          <w:sz w:val="24"/>
          <w:szCs w:val="24"/>
          <w:lang w:val="en-US"/>
        </w:rPr>
        <w:t xml:space="preserve">Brain capillaries have tight junctions while peripheral capillaries have fenestrated </w:t>
      </w:r>
      <w:r>
        <w:rPr>
          <w:rFonts w:cs="Times New Roman" w:eastAsia="Times New Roman" w:hAnsi="Times New Roman"/>
          <w:sz w:val="24"/>
          <w:szCs w:val="24"/>
          <w:lang w:val="en-US"/>
        </w:rPr>
        <w:t xml:space="preserve">junctions(false) </w:t>
      </w:r>
    </w:p>
    <w:p>
      <w:pPr>
        <w:pStyle w:val="style179"/>
        <w:numPr>
          <w:ilvl w:val="0"/>
          <w:numId w:val="8"/>
        </w:numPr>
        <w:spacing w:before="100" w:beforeAutospacing="true" w:after="24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cs="Times New Roman" w:eastAsia="Times New Roman" w:hAnsi="Times New Roman"/>
          <w:sz w:val="24"/>
          <w:szCs w:val="24"/>
          <w:lang w:val="en-US"/>
        </w:rPr>
        <w:t>Brain capillaries have fenestrated  junctions while peripheral capillaries have tight junctions</w:t>
      </w:r>
      <w:r>
        <w:rPr>
          <w:rFonts w:cs="Times New Roman" w:eastAsia="Times New Roman" w:hAnsi="Times New Roman"/>
          <w:sz w:val="24"/>
          <w:szCs w:val="24"/>
          <w:lang w:val="en-US"/>
        </w:rPr>
        <w:t xml:space="preserve">(true) </w:t>
      </w:r>
    </w:p>
    <w:p>
      <w:pPr>
        <w:pStyle w:val="style179"/>
        <w:numPr>
          <w:ilvl w:val="0"/>
          <w:numId w:val="8"/>
        </w:numPr>
        <w:spacing w:before="100" w:beforeAutospacing="true" w:after="24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cs="Times New Roman" w:eastAsia="Times New Roman" w:hAnsi="Times New Roman"/>
          <w:sz w:val="24"/>
          <w:szCs w:val="24"/>
          <w:lang w:val="en-US"/>
        </w:rPr>
        <w:t>Brain capillaries have fewer mitochondria than peripheral capillaries</w:t>
      </w:r>
      <w:r>
        <w:rPr>
          <w:rFonts w:cs="Times New Roman" w:eastAsia="Times New Roman" w:hAnsi="Times New Roman"/>
          <w:sz w:val="24"/>
          <w:szCs w:val="24"/>
          <w:lang w:val="en-US"/>
        </w:rPr>
        <w:t xml:space="preserve">(false) </w:t>
      </w:r>
    </w:p>
    <w:p>
      <w:pPr>
        <w:pStyle w:val="style179"/>
        <w:numPr>
          <w:ilvl w:val="0"/>
          <w:numId w:val="8"/>
        </w:numPr>
        <w:spacing w:before="100" w:beforeAutospacing="true" w:after="24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cs="Times New Roman" w:eastAsia="Times New Roman" w:hAnsi="Times New Roman"/>
          <w:sz w:val="24"/>
          <w:szCs w:val="24"/>
          <w:lang w:val="en-US"/>
        </w:rPr>
        <w:t>Brain capillaries have more mitochondria than peripheral capillaries</w:t>
      </w:r>
      <w:r>
        <w:rPr>
          <w:rFonts w:cs="Times New Roman" w:eastAsia="Times New Roman" w:hAnsi="Times New Roman"/>
          <w:sz w:val="24"/>
          <w:szCs w:val="24"/>
          <w:lang w:val="en-US"/>
        </w:rPr>
        <w:t xml:space="preserve">(true)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000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200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000001"/>
    <w:multiLevelType w:val="multilevel"/>
    <w:tmpl w:val="44828C4C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">
    <w:nsid w:val="00000002"/>
    <w:multiLevelType w:val="hybridMultilevel"/>
    <w:tmpl w:val="F184FEF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Words>314</Words>
  <Pages>1</Pages>
  <Characters>2344</Characters>
  <Application>WPS Office</Application>
  <DocSecurity>0</DocSecurity>
  <Paragraphs>45</Paragraphs>
  <ScaleCrop>false</ScaleCrop>
  <LinksUpToDate>false</LinksUpToDate>
  <CharactersWithSpaces>2644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2020-04-10T11:34:00Z</dcterms:created>
  <dc:creator>wonderful legend</dc:creator>
  <lastModifiedBy>DUB-LX1</lastModifiedBy>
  <dcterms:modified xsi:type="dcterms:W3CDTF">2020-04-15T10:33:17Z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