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A7A5" w14:textId="3D3DBD4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lgerian" w:hAnsi="Algerian" w:cs="Arial"/>
          <w:color w:val="000000" w:themeColor="text1"/>
          <w:sz w:val="21"/>
          <w:szCs w:val="21"/>
        </w:rPr>
      </w:pPr>
      <w:r w:rsidRPr="005367FC">
        <w:rPr>
          <w:rFonts w:ascii="Algerian" w:hAnsi="Algerian" w:cs="Arial"/>
          <w:color w:val="000000" w:themeColor="text1"/>
          <w:sz w:val="21"/>
          <w:szCs w:val="21"/>
        </w:rPr>
        <w:t>NAME:</w:t>
      </w:r>
      <w:r w:rsidRPr="005367FC">
        <w:rPr>
          <w:rFonts w:ascii="Algerian" w:hAnsi="Algerian" w:cs="Arial"/>
          <w:color w:val="000000" w:themeColor="text1"/>
          <w:sz w:val="21"/>
          <w:szCs w:val="21"/>
        </w:rPr>
        <w:t xml:space="preserve"> </w:t>
      </w:r>
      <w:r>
        <w:rPr>
          <w:rFonts w:ascii="Algerian" w:hAnsi="Algerian" w:cs="Arial"/>
          <w:color w:val="000000" w:themeColor="text1"/>
          <w:sz w:val="21"/>
          <w:szCs w:val="21"/>
        </w:rPr>
        <w:t>UMAR ABDULRAHMAN MOHAMMED</w:t>
      </w:r>
    </w:p>
    <w:p w14:paraId="39EC4E4B" w14:textId="4FD0B2E0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lgerian" w:hAnsi="Algerian" w:cs="Arial"/>
          <w:color w:val="000000" w:themeColor="text1"/>
          <w:sz w:val="21"/>
          <w:szCs w:val="21"/>
        </w:rPr>
      </w:pPr>
      <w:r w:rsidRPr="005367FC">
        <w:rPr>
          <w:rFonts w:ascii="Algerian" w:hAnsi="Algerian" w:cs="Arial"/>
          <w:color w:val="000000" w:themeColor="text1"/>
          <w:sz w:val="21"/>
          <w:szCs w:val="21"/>
        </w:rPr>
        <w:t>MATRIC NUMBER: 17/</w:t>
      </w:r>
      <w:r>
        <w:rPr>
          <w:rFonts w:ascii="Algerian" w:hAnsi="Algerian" w:cs="Arial"/>
          <w:color w:val="000000" w:themeColor="text1"/>
          <w:sz w:val="21"/>
          <w:szCs w:val="21"/>
        </w:rPr>
        <w:t>ENG03/054</w:t>
      </w:r>
    </w:p>
    <w:p w14:paraId="3984558F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lgerian" w:hAnsi="Algerian" w:cs="Arial"/>
          <w:color w:val="000000" w:themeColor="text1"/>
          <w:sz w:val="21"/>
          <w:szCs w:val="21"/>
        </w:rPr>
      </w:pPr>
      <w:r w:rsidRPr="005367FC">
        <w:rPr>
          <w:rFonts w:ascii="Algerian" w:hAnsi="Algerian" w:cs="Arial"/>
          <w:color w:val="000000" w:themeColor="text1"/>
          <w:sz w:val="21"/>
          <w:szCs w:val="21"/>
        </w:rPr>
        <w:t xml:space="preserve">DEPARTMENT: </w:t>
      </w:r>
      <w:r w:rsidRPr="005367FC">
        <w:rPr>
          <w:rFonts w:ascii="Algerian" w:hAnsi="Algerian" w:cs="Arial"/>
          <w:color w:val="000000" w:themeColor="text1"/>
          <w:sz w:val="21"/>
          <w:szCs w:val="21"/>
        </w:rPr>
        <w:t>Civil  E</w:t>
      </w:r>
      <w:r w:rsidRPr="005367FC">
        <w:rPr>
          <w:rFonts w:ascii="Algerian" w:hAnsi="Algerian" w:cs="Arial"/>
          <w:color w:val="000000" w:themeColor="text1"/>
          <w:sz w:val="21"/>
          <w:szCs w:val="21"/>
        </w:rPr>
        <w:t xml:space="preserve">ngineering </w:t>
      </w:r>
      <w:bookmarkStart w:id="0" w:name="_GoBack"/>
      <w:bookmarkEnd w:id="0"/>
    </w:p>
    <w:p w14:paraId="24D31F46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lgerian" w:hAnsi="Algerian" w:cs="Arial"/>
          <w:color w:val="000000" w:themeColor="text1"/>
          <w:sz w:val="21"/>
          <w:szCs w:val="21"/>
        </w:rPr>
      </w:pPr>
      <w:r w:rsidRPr="005367FC">
        <w:rPr>
          <w:rFonts w:ascii="Algerian" w:hAnsi="Algerian" w:cs="Arial"/>
          <w:color w:val="000000" w:themeColor="text1"/>
          <w:sz w:val="21"/>
          <w:szCs w:val="21"/>
        </w:rPr>
        <w:t xml:space="preserve">COURSE: Engineering law </w:t>
      </w:r>
    </w:p>
    <w:p w14:paraId="52638F7A" w14:textId="77777777" w:rsidR="00EF7F10" w:rsidRDefault="00EF7F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0842D5C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A </w:t>
      </w:r>
      <w:r w:rsidRPr="005367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patent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is a form of </w:t>
      </w:r>
      <w:hyperlink r:id="rId5" w:tooltip="Intellectual property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intellectual property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that gives the owner the legal right to exclude others from making, using, selling and importing an </w:t>
      </w:r>
      <w:hyperlink r:id="rId6" w:tooltip="Invention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invention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for a limited period of years, in exchange for publishing an </w:t>
      </w:r>
      <w:hyperlink r:id="rId7" w:tooltip="Sufficiency of disclosure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enabling publi</w:t>
        </w:r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 disclosure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of the invention. In most countries patent rights fall under </w:t>
      </w:r>
      <w:hyperlink r:id="rId8" w:tooltip="Private law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civil law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and the patent holder needs to sue someone </w:t>
      </w:r>
      <w:hyperlink r:id="rId9" w:tooltip="Patent infringement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infringing the patent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in order to enforce his or her rights. In some </w:t>
      </w:r>
      <w:hyperlink r:id="rId10" w:anchor="Major_industries" w:tooltip="Outline of industry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industries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patents are an essentia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l form of </w:t>
      </w:r>
      <w:hyperlink r:id="rId11" w:tooltip="Competitive advantage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competitive advantage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; in others they are irrelevant</w:t>
      </w:r>
    </w:p>
    <w:p w14:paraId="79CD0DCA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The procedure for granting patents, requirements placed on the patentee, and the extent of the exc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claims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 that 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define the invention. A patent may include many claims, each of which defines a specific property right. These claims must meet relevant </w:t>
      </w:r>
      <w:hyperlink r:id="rId13" w:tooltip="Patentability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patentability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requirements, such as </w:t>
      </w:r>
      <w:hyperlink r:id="rId14" w:tooltip="Novelty (patent)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novelty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 </w:t>
      </w:r>
      <w:hyperlink r:id="rId15" w:tooltip="Utility (patent)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usefulness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and </w:t>
      </w:r>
      <w:hyperlink r:id="rId16" w:tooltip="Inventive step and non-obviousnes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non-obviousness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A9709C0" w14:textId="77777777" w:rsidR="00EF7F10" w:rsidRPr="005367FC" w:rsidRDefault="00EF7F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5DDEE6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Copyright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is the </w:t>
      </w:r>
      <w:hyperlink r:id="rId17" w:tooltip="Exclusive right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exclusive right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given to the creator of a </w:t>
      </w:r>
      <w:hyperlink r:id="rId18" w:tooltip="Creative work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creative work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 to reproduce the work, usually for a limited time The creative work may be in a literary, artistic, educational, or musical form. Copyright is intended to protect 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the original expression of an idea in the form of a creative work, but not the idea itself.</w:t>
      </w:r>
      <w:hyperlink r:id="rId19" w:anchor="cite_note-6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[6]</w:t>
        </w:r>
      </w:hyperlink>
      <w:hyperlink r:id="rId20" w:anchor="cite_note-7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[7]</w:t>
        </w:r>
      </w:hyperlink>
      <w:hyperlink r:id="rId21" w:anchor="cite_note-8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[8]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A copyright is subject to </w:t>
      </w:r>
      <w:hyperlink r:id="rId22" w:tooltip="Limitations and exceptions to copyright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limitations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based on p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ublic interest considerations, such as the </w:t>
      </w:r>
      <w:hyperlink r:id="rId23" w:tooltip="Fair use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fair use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doctrine in the United States. Some jurisdictions require "fixing" copyrighted works in a tangible form. It is often shared among multi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derivative works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distribution, </w:t>
      </w:r>
      <w:hyperlink r:id="rId25" w:tooltip="Performing right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public performance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and </w:t>
      </w:r>
      <w:hyperlink r:id="rId26" w:tooltip="Moral right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moral rights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such as at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tribution</w:t>
      </w:r>
    </w:p>
    <w:p w14:paraId="6F3CD05B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14:paraId="0B1212BF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Typically, the public law </w:t>
      </w:r>
      <w:hyperlink r:id="rId27" w:tooltip="Copyright term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duration of a copyright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expires 50 to 100 years after the creator dies, </w:t>
      </w:r>
      <w:hyperlink r:id="rId28" w:tooltip="List of countries' copyright length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depending on the jurisdiction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. Some countries require certain </w:t>
      </w:r>
      <w:hyperlink r:id="rId29" w:tooltip="Copyright formalitie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copyright formalities</w:t>
        </w:r>
      </w:hyperlink>
      <w:hyperlink r:id="rId30" w:anchor="cite_note-:3-5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]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to establishing copyright, others recognize copyright in any completed work, without formal registration.</w:t>
      </w:r>
    </w:p>
    <w:p w14:paraId="4F65DB37" w14:textId="77777777" w:rsidR="00EF7F10" w:rsidRPr="005367FC" w:rsidRDefault="00EF7F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979ECE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A </w:t>
      </w:r>
      <w:r w:rsidRPr="005367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trademark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(also written </w:t>
      </w:r>
      <w:r w:rsidRPr="005367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trade mark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or </w:t>
      </w:r>
      <w:r w:rsidRPr="005367F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trade-mark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) is a type of </w:t>
      </w:r>
      <w:hyperlink r:id="rId31" w:tooltip="Intellectual property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intellectual property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consisting of a recognizable </w:t>
      </w:r>
      <w:hyperlink r:id="rId32" w:tooltip="Sign (semiotics)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sign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 </w:t>
      </w:r>
      <w:hyperlink r:id="rId33" w:tooltip="Design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design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or </w:t>
      </w:r>
      <w:hyperlink r:id="rId34" w:tooltip="Expression (language)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expression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which identifies </w:t>
      </w:r>
      <w:hyperlink r:id="rId35" w:tooltip="Good (economics and accounting)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products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or </w:t>
      </w:r>
      <w:hyperlink r:id="rId36" w:tooltip="Service economie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services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of a particular source from those of others,</w:t>
      </w:r>
      <w:hyperlink r:id="rId37" w:anchor="cite_note-2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[2]</w:t>
        </w:r>
      </w:hyperlink>
      <w:hyperlink r:id="rId38" w:anchor="cite_note-3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[3]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although trademarks used to identify services are usually called </w:t>
      </w:r>
      <w:hyperlink r:id="rId39" w:tooltip="Service mark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service marks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hyperlink r:id="rId40" w:anchor="cite_note-4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[4]</w:t>
        </w:r>
      </w:hyperlink>
      <w:hyperlink r:id="rId41" w:anchor="cite_note-5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vertAlign w:val="superscript"/>
          </w:rPr>
          <w:t>[5]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 The trademar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k owner can be an individual, </w:t>
      </w:r>
      <w:hyperlink r:id="rId42" w:tooltip="Business organizations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business organization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or any </w:t>
      </w:r>
      <w:hyperlink r:id="rId43" w:tooltip="Juristic person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legal entity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A 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trademark may be located on a </w:t>
      </w:r>
      <w:hyperlink r:id="rId44" w:tooltip="Packaging and labeling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package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a </w:t>
      </w:r>
      <w:hyperlink r:id="rId45" w:tooltip="Label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label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a </w:t>
      </w:r>
      <w:hyperlink r:id="rId46" w:tooltip="Voucher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voucher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or on the product itself. For the sake of </w:t>
      </w:r>
      <w:hyperlink r:id="rId47" w:tooltip="Corporate identity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corporate identity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, trademarks are often displaye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d on company buildings. It is legally recognized as a type of </w:t>
      </w:r>
      <w:hyperlink r:id="rId48" w:tooltip="Intellectual property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intellectual property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. The 1938 Act, which served as a model for similar legislation elsewhere, con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tained other novel concepts such as "associated trademarks", a consent to use system, a defensive mark system, and </w:t>
      </w:r>
      <w:proofErr w:type="spellStart"/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non claiming</w:t>
      </w:r>
      <w:proofErr w:type="spellEnd"/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right system.</w:t>
      </w:r>
    </w:p>
    <w:p w14:paraId="00B405CE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The symbols ™ (the </w:t>
      </w:r>
      <w:hyperlink r:id="rId49" w:tooltip="Trademark symbol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trademark sym</w:t>
        </w:r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bol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) and ® (the </w:t>
      </w:r>
      <w:hyperlink r:id="rId50" w:tooltip="Registered trademark symbol" w:history="1">
        <w:r w:rsidRPr="005367F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registered trademark symbol</w:t>
        </w:r>
      </w:hyperlink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) can be used to indicate trademarks; the latter is only for use by the owner of a trademark that has b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een registered.</w:t>
      </w:r>
    </w:p>
    <w:p w14:paraId="154F4F75" w14:textId="77777777" w:rsidR="00EF7F10" w:rsidRPr="005367FC" w:rsidRDefault="00EF7F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EA80802" w14:textId="77777777" w:rsidR="00EF7F10" w:rsidRPr="005367FC" w:rsidRDefault="005367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67FC">
        <w:rPr>
          <w:rFonts w:asciiTheme="majorBidi" w:hAnsiTheme="majorBidi" w:cstheme="majorBidi"/>
          <w:b/>
          <w:color w:val="000000" w:themeColor="text1"/>
          <w:sz w:val="28"/>
          <w:szCs w:val="28"/>
        </w:rPr>
        <w:t>Trade secrets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 w:rsidRPr="005367FC">
        <w:rPr>
          <w:rFonts w:asciiTheme="majorBidi" w:hAnsiTheme="majorBidi" w:cstheme="majorBidi"/>
          <w:color w:val="000000" w:themeColor="text1"/>
          <w:sz w:val="28"/>
          <w:szCs w:val="28"/>
        </w:rPr>
        <w:t>y ascertainable by others, and which the owner takes reasonable measures to keep secret In some jurisdictions, such secrets are referred to as confidential information.</w:t>
      </w:r>
    </w:p>
    <w:p w14:paraId="2F48052A" w14:textId="77777777" w:rsidR="00EF7F10" w:rsidRDefault="00EF7F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8FAE293" w14:textId="77777777" w:rsidR="00EF7F10" w:rsidRDefault="00EF7F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BD32071" w14:textId="77777777" w:rsidR="00EF7F10" w:rsidRDefault="00EF7F10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D907B05" w14:textId="77777777" w:rsidR="00EF7F10" w:rsidRDefault="00EF7F10"/>
    <w:p w14:paraId="2ACC6534" w14:textId="77777777" w:rsidR="00EF7F10" w:rsidRDefault="00EF7F10"/>
    <w:sectPr w:rsidR="00EF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10"/>
    <w:rsid w:val="005367FC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391F"/>
  <w15:docId w15:val="{D7DB966F-54C7-4A6F-8472-1032E6A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9" Type="http://schemas.openxmlformats.org/officeDocument/2006/relationships/hyperlink" Target="https://en.wikipedia.org/wiki/Copyright_formalities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0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Abdulrahman Umar</cp:lastModifiedBy>
  <cp:revision>2</cp:revision>
  <dcterms:created xsi:type="dcterms:W3CDTF">2020-04-15T11:53:00Z</dcterms:created>
  <dcterms:modified xsi:type="dcterms:W3CDTF">2020-04-15T11:53:00Z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