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F02" w:rsidRPr="00701217" w:rsidRDefault="00747138">
      <w:pPr>
        <w:rPr>
          <w:rFonts w:ascii="Times New Roman" w:hAnsi="Times New Roman" w:cs="Times New Roman"/>
          <w:b/>
          <w:sz w:val="28"/>
          <w:szCs w:val="28"/>
        </w:rPr>
      </w:pPr>
      <w:r>
        <w:rPr>
          <w:rFonts w:ascii="Times New Roman" w:hAnsi="Times New Roman" w:cs="Times New Roman"/>
          <w:b/>
          <w:sz w:val="28"/>
          <w:szCs w:val="28"/>
        </w:rPr>
        <w:t xml:space="preserve">EBOIGBE DAVID </w:t>
      </w:r>
      <w:proofErr w:type="spellStart"/>
      <w:r>
        <w:rPr>
          <w:rFonts w:ascii="Times New Roman" w:hAnsi="Times New Roman" w:cs="Times New Roman"/>
          <w:b/>
          <w:sz w:val="28"/>
          <w:szCs w:val="28"/>
        </w:rPr>
        <w:t>NWACHU</w:t>
      </w:r>
      <w:r w:rsidRPr="00747138">
        <w:rPr>
          <w:rFonts w:ascii="Times New Roman" w:hAnsi="Times New Roman" w:cs="Times New Roman"/>
          <w:b/>
          <w:sz w:val="32"/>
          <w:szCs w:val="32"/>
        </w:rPr>
        <w:t>kwu</w:t>
      </w:r>
      <w:proofErr w:type="spellEnd"/>
    </w:p>
    <w:p w:rsidR="00637BE4" w:rsidRPr="00701217" w:rsidRDefault="00637BE4">
      <w:pPr>
        <w:rPr>
          <w:rFonts w:ascii="Times New Roman" w:hAnsi="Times New Roman" w:cs="Times New Roman"/>
          <w:b/>
          <w:sz w:val="28"/>
          <w:szCs w:val="28"/>
        </w:rPr>
      </w:pPr>
      <w:r w:rsidRPr="00701217">
        <w:rPr>
          <w:rFonts w:ascii="Times New Roman" w:hAnsi="Times New Roman" w:cs="Times New Roman"/>
          <w:b/>
          <w:sz w:val="28"/>
          <w:szCs w:val="28"/>
        </w:rPr>
        <w:t>18/LAW01/078</w:t>
      </w:r>
    </w:p>
    <w:p w:rsidR="00637BE4" w:rsidRPr="00701217" w:rsidRDefault="00637BE4">
      <w:pPr>
        <w:rPr>
          <w:rFonts w:ascii="Times New Roman" w:hAnsi="Times New Roman" w:cs="Times New Roman"/>
          <w:b/>
          <w:sz w:val="28"/>
          <w:szCs w:val="28"/>
        </w:rPr>
      </w:pPr>
      <w:r w:rsidRPr="00701217">
        <w:rPr>
          <w:rFonts w:ascii="Times New Roman" w:hAnsi="Times New Roman" w:cs="Times New Roman"/>
          <w:b/>
          <w:sz w:val="28"/>
          <w:szCs w:val="28"/>
        </w:rPr>
        <w:t xml:space="preserve">NIGERIA LEGAL SYSTEM </w:t>
      </w:r>
    </w:p>
    <w:p w:rsidR="00637BE4" w:rsidRPr="00701217" w:rsidRDefault="00637BE4">
      <w:pPr>
        <w:rPr>
          <w:rFonts w:ascii="Times New Roman" w:hAnsi="Times New Roman" w:cs="Times New Roman"/>
          <w:sz w:val="28"/>
          <w:szCs w:val="28"/>
        </w:rPr>
      </w:pPr>
      <w:r w:rsidRPr="00701217">
        <w:rPr>
          <w:rFonts w:ascii="Times New Roman" w:hAnsi="Times New Roman" w:cs="Times New Roman"/>
          <w:b/>
          <w:sz w:val="28"/>
          <w:szCs w:val="28"/>
        </w:rPr>
        <w:t>ASSIGNMENT</w:t>
      </w:r>
      <w:r w:rsidRPr="00701217">
        <w:rPr>
          <w:rFonts w:ascii="Times New Roman" w:hAnsi="Times New Roman" w:cs="Times New Roman"/>
          <w:sz w:val="28"/>
          <w:szCs w:val="28"/>
        </w:rPr>
        <w:t xml:space="preserve"> </w:t>
      </w:r>
    </w:p>
    <w:p w:rsidR="00637BE4" w:rsidRPr="00701217" w:rsidRDefault="00637BE4">
      <w:pPr>
        <w:rPr>
          <w:rFonts w:ascii="Times New Roman" w:hAnsi="Times New Roman" w:cs="Times New Roman"/>
          <w:sz w:val="28"/>
          <w:szCs w:val="28"/>
        </w:rPr>
      </w:pPr>
    </w:p>
    <w:p w:rsidR="00637BE4" w:rsidRPr="00701217" w:rsidRDefault="00637BE4">
      <w:pPr>
        <w:rPr>
          <w:rFonts w:ascii="Times New Roman" w:hAnsi="Times New Roman" w:cs="Times New Roman"/>
          <w:sz w:val="28"/>
          <w:szCs w:val="28"/>
        </w:rPr>
      </w:pPr>
    </w:p>
    <w:p w:rsidR="00637BE4" w:rsidRPr="00701217" w:rsidRDefault="00637BE4">
      <w:pPr>
        <w:rPr>
          <w:rFonts w:ascii="Times New Roman" w:hAnsi="Times New Roman" w:cs="Times New Roman"/>
          <w:sz w:val="28"/>
          <w:szCs w:val="28"/>
        </w:rPr>
      </w:pPr>
      <w:r w:rsidRPr="00701217">
        <w:rPr>
          <w:rFonts w:ascii="Times New Roman" w:hAnsi="Times New Roman" w:cs="Times New Roman"/>
          <w:sz w:val="28"/>
          <w:szCs w:val="28"/>
        </w:rPr>
        <w:t>QUESTION</w:t>
      </w:r>
    </w:p>
    <w:p w:rsidR="00637BE4" w:rsidRPr="00701217" w:rsidRDefault="00637BE4" w:rsidP="00637BE4">
      <w:pPr>
        <w:pStyle w:val="ListParagraph"/>
        <w:numPr>
          <w:ilvl w:val="0"/>
          <w:numId w:val="1"/>
        </w:numPr>
        <w:rPr>
          <w:rFonts w:ascii="Times New Roman" w:hAnsi="Times New Roman" w:cs="Times New Roman"/>
          <w:b/>
          <w:sz w:val="28"/>
          <w:szCs w:val="28"/>
        </w:rPr>
      </w:pPr>
      <w:r w:rsidRPr="00701217">
        <w:rPr>
          <w:rFonts w:ascii="Times New Roman" w:hAnsi="Times New Roman" w:cs="Times New Roman"/>
          <w:b/>
          <w:sz w:val="28"/>
          <w:szCs w:val="28"/>
        </w:rPr>
        <w:t>State clearly the procedure from arraignment to imposition of sentence in a criminal trial in the high court.</w:t>
      </w:r>
    </w:p>
    <w:p w:rsidR="00637BE4" w:rsidRPr="00701217" w:rsidRDefault="00637BE4" w:rsidP="00637BE4">
      <w:pPr>
        <w:rPr>
          <w:rFonts w:ascii="Times New Roman" w:hAnsi="Times New Roman" w:cs="Times New Roman"/>
          <w:sz w:val="28"/>
          <w:szCs w:val="28"/>
        </w:rPr>
      </w:pPr>
    </w:p>
    <w:p w:rsidR="00637BE4" w:rsidRPr="00701217" w:rsidRDefault="00637BE4" w:rsidP="00637BE4">
      <w:pPr>
        <w:pStyle w:val="ListParagraph"/>
        <w:numPr>
          <w:ilvl w:val="0"/>
          <w:numId w:val="2"/>
        </w:numPr>
        <w:rPr>
          <w:rFonts w:ascii="Times New Roman" w:hAnsi="Times New Roman" w:cs="Times New Roman"/>
          <w:b/>
          <w:sz w:val="28"/>
          <w:szCs w:val="28"/>
          <w:u w:val="single"/>
        </w:rPr>
      </w:pPr>
      <w:r w:rsidRPr="00701217">
        <w:rPr>
          <w:rFonts w:ascii="Times New Roman" w:hAnsi="Times New Roman" w:cs="Times New Roman"/>
          <w:b/>
          <w:sz w:val="28"/>
          <w:szCs w:val="28"/>
          <w:u w:val="single"/>
        </w:rPr>
        <w:t>Arraignment:</w:t>
      </w:r>
      <w:r w:rsidRPr="00701217">
        <w:rPr>
          <w:rFonts w:ascii="Times New Roman" w:hAnsi="Times New Roman" w:cs="Times New Roman"/>
          <w:sz w:val="28"/>
          <w:szCs w:val="28"/>
        </w:rPr>
        <w:t xml:space="preserve">  This is the beginning of a criminal proceeding in a court, wherein the accused person is brought to the court, and placed in the dock un</w:t>
      </w:r>
      <w:bookmarkStart w:id="0" w:name="_GoBack"/>
      <w:bookmarkEnd w:id="0"/>
      <w:r w:rsidRPr="00701217">
        <w:rPr>
          <w:rFonts w:ascii="Times New Roman" w:hAnsi="Times New Roman" w:cs="Times New Roman"/>
          <w:sz w:val="28"/>
          <w:szCs w:val="28"/>
        </w:rPr>
        <w:t xml:space="preserve">fettered. The charge is read over to him by the registrar of the court in the language he or she understands, and he instantly takes his plea. Thus the pleas available to the accused person varies from: plea of guilty, plea of not guilty, plea of guilty for a lesser offence, etc. </w:t>
      </w:r>
    </w:p>
    <w:p w:rsidR="00637BE4" w:rsidRPr="00701217" w:rsidRDefault="00637BE4" w:rsidP="00637BE4">
      <w:pPr>
        <w:pStyle w:val="ListParagraph"/>
        <w:rPr>
          <w:rFonts w:ascii="Times New Roman" w:hAnsi="Times New Roman" w:cs="Times New Roman"/>
          <w:sz w:val="28"/>
          <w:szCs w:val="28"/>
        </w:rPr>
      </w:pPr>
      <w:r w:rsidRPr="00701217">
        <w:rPr>
          <w:rFonts w:ascii="Times New Roman" w:hAnsi="Times New Roman" w:cs="Times New Roman"/>
          <w:sz w:val="28"/>
          <w:szCs w:val="28"/>
        </w:rPr>
        <w:t xml:space="preserve">It is pertinent to note that when an accused person pleads not guilty, he has put himself into trial. </w:t>
      </w:r>
    </w:p>
    <w:p w:rsidR="00637BE4" w:rsidRPr="00701217" w:rsidRDefault="00637BE4" w:rsidP="00637BE4">
      <w:pPr>
        <w:pStyle w:val="ListParagraph"/>
        <w:rPr>
          <w:rFonts w:ascii="Times New Roman" w:hAnsi="Times New Roman" w:cs="Times New Roman"/>
          <w:b/>
          <w:sz w:val="28"/>
          <w:szCs w:val="28"/>
        </w:rPr>
      </w:pPr>
      <w:r w:rsidRPr="00701217">
        <w:rPr>
          <w:rFonts w:ascii="Times New Roman" w:hAnsi="Times New Roman" w:cs="Times New Roman"/>
          <w:sz w:val="28"/>
          <w:szCs w:val="28"/>
        </w:rPr>
        <w:t xml:space="preserve">This doctrine of arraignment is vividly in the spirit of </w:t>
      </w:r>
      <w:r w:rsidR="00701217">
        <w:rPr>
          <w:rFonts w:ascii="Times New Roman" w:hAnsi="Times New Roman" w:cs="Times New Roman"/>
          <w:b/>
          <w:sz w:val="28"/>
          <w:szCs w:val="28"/>
        </w:rPr>
        <w:t>S</w:t>
      </w:r>
      <w:r w:rsidRPr="00701217">
        <w:rPr>
          <w:rFonts w:ascii="Times New Roman" w:hAnsi="Times New Roman" w:cs="Times New Roman"/>
          <w:b/>
          <w:sz w:val="28"/>
          <w:szCs w:val="28"/>
        </w:rPr>
        <w:t>ection 36</w:t>
      </w:r>
      <w:r w:rsidRPr="00701217">
        <w:rPr>
          <w:rFonts w:ascii="Times New Roman" w:hAnsi="Times New Roman" w:cs="Times New Roman"/>
          <w:sz w:val="28"/>
          <w:szCs w:val="28"/>
        </w:rPr>
        <w:t xml:space="preserve"> </w:t>
      </w:r>
      <w:r w:rsidRPr="00701217">
        <w:rPr>
          <w:rFonts w:ascii="Times New Roman" w:hAnsi="Times New Roman" w:cs="Times New Roman"/>
          <w:b/>
          <w:sz w:val="28"/>
          <w:szCs w:val="28"/>
        </w:rPr>
        <w:t>of the Constitution of the Federal Republic of Nigeria.</w:t>
      </w:r>
    </w:p>
    <w:p w:rsidR="00637BE4" w:rsidRPr="00701217" w:rsidRDefault="00637BE4" w:rsidP="00637BE4">
      <w:pPr>
        <w:pStyle w:val="ListParagraph"/>
        <w:rPr>
          <w:rFonts w:ascii="Times New Roman" w:hAnsi="Times New Roman" w:cs="Times New Roman"/>
          <w:sz w:val="28"/>
          <w:szCs w:val="28"/>
        </w:rPr>
      </w:pPr>
    </w:p>
    <w:p w:rsidR="00701217" w:rsidRPr="00701217" w:rsidRDefault="00637BE4" w:rsidP="00637BE4">
      <w:pPr>
        <w:pStyle w:val="ListParagraph"/>
        <w:numPr>
          <w:ilvl w:val="0"/>
          <w:numId w:val="2"/>
        </w:numPr>
        <w:rPr>
          <w:rFonts w:ascii="Times New Roman" w:hAnsi="Times New Roman" w:cs="Times New Roman"/>
          <w:b/>
          <w:sz w:val="28"/>
          <w:szCs w:val="28"/>
          <w:u w:val="single"/>
        </w:rPr>
      </w:pPr>
      <w:r w:rsidRPr="00701217">
        <w:rPr>
          <w:rFonts w:ascii="Times New Roman" w:hAnsi="Times New Roman" w:cs="Times New Roman"/>
          <w:b/>
          <w:sz w:val="28"/>
          <w:szCs w:val="28"/>
          <w:u w:val="single"/>
        </w:rPr>
        <w:t xml:space="preserve">Trial: </w:t>
      </w:r>
      <w:r w:rsidRPr="00701217">
        <w:rPr>
          <w:rFonts w:ascii="Times New Roman" w:hAnsi="Times New Roman" w:cs="Times New Roman"/>
          <w:sz w:val="28"/>
          <w:szCs w:val="28"/>
        </w:rPr>
        <w:t xml:space="preserve">This encapsulates the whole process of giving either documentary evidence or evidence by witnesses called in other to prove the prosecution’s case </w:t>
      </w:r>
      <w:r w:rsidR="00E532C1" w:rsidRPr="00701217">
        <w:rPr>
          <w:rFonts w:ascii="Times New Roman" w:hAnsi="Times New Roman" w:cs="Times New Roman"/>
          <w:sz w:val="28"/>
          <w:szCs w:val="28"/>
        </w:rPr>
        <w:t xml:space="preserve">or prove the accused case (by way of no case submission or resting the case on that of the Prosecution’s or opening his </w:t>
      </w:r>
      <w:proofErr w:type="spellStart"/>
      <w:r w:rsidR="00E532C1" w:rsidRPr="00701217">
        <w:rPr>
          <w:rFonts w:ascii="Times New Roman" w:hAnsi="Times New Roman" w:cs="Times New Roman"/>
          <w:sz w:val="28"/>
          <w:szCs w:val="28"/>
        </w:rPr>
        <w:t>defence</w:t>
      </w:r>
      <w:proofErr w:type="spellEnd"/>
      <w:r w:rsidR="00701217" w:rsidRPr="00701217">
        <w:rPr>
          <w:rFonts w:ascii="Times New Roman" w:hAnsi="Times New Roman" w:cs="Times New Roman"/>
          <w:sz w:val="28"/>
          <w:szCs w:val="28"/>
        </w:rPr>
        <w:t>)</w:t>
      </w:r>
      <w:r w:rsidRPr="00701217">
        <w:rPr>
          <w:rFonts w:ascii="Times New Roman" w:hAnsi="Times New Roman" w:cs="Times New Roman"/>
          <w:sz w:val="28"/>
          <w:szCs w:val="28"/>
        </w:rPr>
        <w:t>.</w:t>
      </w:r>
    </w:p>
    <w:p w:rsidR="00701217" w:rsidRPr="00701217" w:rsidRDefault="00701217" w:rsidP="00701217">
      <w:pPr>
        <w:pStyle w:val="ListParagraph"/>
        <w:rPr>
          <w:rFonts w:ascii="Times New Roman" w:hAnsi="Times New Roman" w:cs="Times New Roman"/>
          <w:sz w:val="28"/>
          <w:szCs w:val="28"/>
        </w:rPr>
      </w:pPr>
      <w:r>
        <w:rPr>
          <w:rFonts w:ascii="Times New Roman" w:hAnsi="Times New Roman" w:cs="Times New Roman"/>
          <w:sz w:val="28"/>
          <w:szCs w:val="28"/>
        </w:rPr>
        <w:t xml:space="preserve">Also, the Court herein, tests the admissibility of a Confessional statement as to know its voluntariness or otherwise and conduct a trial-within-trial where it has been given involuntarily as in </w:t>
      </w:r>
      <w:r>
        <w:rPr>
          <w:rFonts w:ascii="Times New Roman" w:hAnsi="Times New Roman" w:cs="Times New Roman"/>
          <w:b/>
          <w:sz w:val="28"/>
          <w:szCs w:val="28"/>
        </w:rPr>
        <w:t>Section 14 of the Evidence Act.</w:t>
      </w:r>
      <w:r>
        <w:rPr>
          <w:rFonts w:ascii="Times New Roman" w:hAnsi="Times New Roman" w:cs="Times New Roman"/>
          <w:sz w:val="28"/>
          <w:szCs w:val="28"/>
        </w:rPr>
        <w:t xml:space="preserve"> </w:t>
      </w:r>
    </w:p>
    <w:p w:rsidR="00637BE4" w:rsidRPr="00701217" w:rsidRDefault="00701217" w:rsidP="00701217">
      <w:pPr>
        <w:pStyle w:val="ListParagraph"/>
        <w:rPr>
          <w:rFonts w:ascii="Times New Roman" w:hAnsi="Times New Roman" w:cs="Times New Roman"/>
          <w:b/>
          <w:sz w:val="28"/>
          <w:szCs w:val="28"/>
          <w:u w:val="single"/>
        </w:rPr>
      </w:pPr>
      <w:r w:rsidRPr="00701217">
        <w:rPr>
          <w:rFonts w:ascii="Times New Roman" w:hAnsi="Times New Roman" w:cs="Times New Roman"/>
          <w:sz w:val="28"/>
          <w:szCs w:val="28"/>
        </w:rPr>
        <w:t>Furthermore</w:t>
      </w:r>
      <w:r w:rsidR="00E532C1" w:rsidRPr="00701217">
        <w:rPr>
          <w:rFonts w:ascii="Times New Roman" w:hAnsi="Times New Roman" w:cs="Times New Roman"/>
          <w:sz w:val="28"/>
          <w:szCs w:val="28"/>
        </w:rPr>
        <w:t xml:space="preserve">, this encompasses the ideology of subpoena either by subpoena deuces </w:t>
      </w:r>
      <w:proofErr w:type="spellStart"/>
      <w:r w:rsidR="00E532C1" w:rsidRPr="00701217">
        <w:rPr>
          <w:rFonts w:ascii="Times New Roman" w:hAnsi="Times New Roman" w:cs="Times New Roman"/>
          <w:sz w:val="28"/>
          <w:szCs w:val="28"/>
        </w:rPr>
        <w:t>tecum</w:t>
      </w:r>
      <w:proofErr w:type="spellEnd"/>
      <w:r w:rsidR="00E532C1" w:rsidRPr="00701217">
        <w:rPr>
          <w:rFonts w:ascii="Times New Roman" w:hAnsi="Times New Roman" w:cs="Times New Roman"/>
          <w:sz w:val="28"/>
          <w:szCs w:val="28"/>
        </w:rPr>
        <w:t xml:space="preserve"> or subpoena ad </w:t>
      </w:r>
      <w:proofErr w:type="spellStart"/>
      <w:r w:rsidR="00E532C1" w:rsidRPr="00701217">
        <w:rPr>
          <w:rFonts w:ascii="Times New Roman" w:hAnsi="Times New Roman" w:cs="Times New Roman"/>
          <w:sz w:val="28"/>
          <w:szCs w:val="28"/>
        </w:rPr>
        <w:t>testificandum</w:t>
      </w:r>
      <w:proofErr w:type="spellEnd"/>
      <w:r w:rsidR="00E532C1" w:rsidRPr="00701217">
        <w:rPr>
          <w:rFonts w:ascii="Times New Roman" w:hAnsi="Times New Roman" w:cs="Times New Roman"/>
          <w:sz w:val="28"/>
          <w:szCs w:val="28"/>
        </w:rPr>
        <w:t>.</w:t>
      </w:r>
    </w:p>
    <w:p w:rsidR="00701217" w:rsidRDefault="00637BE4" w:rsidP="00701217">
      <w:pPr>
        <w:pStyle w:val="ListParagraph"/>
        <w:rPr>
          <w:rFonts w:ascii="Times New Roman" w:hAnsi="Times New Roman" w:cs="Times New Roman"/>
          <w:b/>
          <w:sz w:val="28"/>
          <w:szCs w:val="28"/>
        </w:rPr>
      </w:pPr>
      <w:r w:rsidRPr="00701217">
        <w:rPr>
          <w:rFonts w:ascii="Times New Roman" w:hAnsi="Times New Roman" w:cs="Times New Roman"/>
          <w:sz w:val="28"/>
          <w:szCs w:val="28"/>
        </w:rPr>
        <w:t>Hence, Examination, cross-examination and re-examination are played in</w:t>
      </w:r>
      <w:r w:rsidR="00701217">
        <w:rPr>
          <w:rFonts w:ascii="Times New Roman" w:hAnsi="Times New Roman" w:cs="Times New Roman"/>
          <w:sz w:val="28"/>
          <w:szCs w:val="28"/>
        </w:rPr>
        <w:t xml:space="preserve">, at this juncture as defined in </w:t>
      </w:r>
      <w:r w:rsidR="00701217" w:rsidRPr="00701217">
        <w:rPr>
          <w:rFonts w:ascii="Times New Roman" w:hAnsi="Times New Roman" w:cs="Times New Roman"/>
          <w:b/>
          <w:sz w:val="28"/>
          <w:szCs w:val="28"/>
        </w:rPr>
        <w:t>Section 214 of the Evidence Act</w:t>
      </w:r>
      <w:r w:rsidR="00701217">
        <w:rPr>
          <w:rFonts w:ascii="Times New Roman" w:hAnsi="Times New Roman" w:cs="Times New Roman"/>
          <w:b/>
          <w:sz w:val="28"/>
          <w:szCs w:val="28"/>
        </w:rPr>
        <w:t>.</w:t>
      </w:r>
    </w:p>
    <w:p w:rsidR="00701217" w:rsidRDefault="00701217" w:rsidP="00701217">
      <w:pPr>
        <w:pStyle w:val="ListParagraph"/>
        <w:rPr>
          <w:rFonts w:ascii="Times New Roman" w:hAnsi="Times New Roman" w:cs="Times New Roman"/>
          <w:b/>
          <w:sz w:val="28"/>
          <w:szCs w:val="28"/>
        </w:rPr>
      </w:pPr>
    </w:p>
    <w:p w:rsidR="00637BE4" w:rsidRDefault="004E5766" w:rsidP="00637BE4">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 xml:space="preserve">Conviction: </w:t>
      </w:r>
      <w:r>
        <w:rPr>
          <w:rFonts w:ascii="Times New Roman" w:hAnsi="Times New Roman" w:cs="Times New Roman"/>
          <w:sz w:val="28"/>
          <w:szCs w:val="28"/>
        </w:rPr>
        <w:t xml:space="preserve">After the processes in the trial of the accused person, and when the Prosecution has proven his case beyond all reasonable doubt, the court goes further to convict the accused. Hence, this is the </w:t>
      </w:r>
      <w:proofErr w:type="spellStart"/>
      <w:r>
        <w:rPr>
          <w:rFonts w:ascii="Times New Roman" w:hAnsi="Times New Roman" w:cs="Times New Roman"/>
          <w:sz w:val="28"/>
          <w:szCs w:val="28"/>
        </w:rPr>
        <w:t>findind</w:t>
      </w:r>
      <w:proofErr w:type="spellEnd"/>
      <w:r>
        <w:rPr>
          <w:rFonts w:ascii="Times New Roman" w:hAnsi="Times New Roman" w:cs="Times New Roman"/>
          <w:sz w:val="28"/>
          <w:szCs w:val="28"/>
        </w:rPr>
        <w:t xml:space="preserve"> of guilt of the Accused person.</w:t>
      </w:r>
    </w:p>
    <w:p w:rsidR="004E5766" w:rsidRDefault="004E5766" w:rsidP="004E5766">
      <w:pPr>
        <w:pStyle w:val="ListParagraph"/>
        <w:rPr>
          <w:rFonts w:ascii="Times New Roman" w:hAnsi="Times New Roman" w:cs="Times New Roman"/>
          <w:sz w:val="28"/>
          <w:szCs w:val="28"/>
        </w:rPr>
      </w:pPr>
      <w:r>
        <w:rPr>
          <w:rFonts w:ascii="Times New Roman" w:hAnsi="Times New Roman" w:cs="Times New Roman"/>
          <w:sz w:val="28"/>
          <w:szCs w:val="28"/>
        </w:rPr>
        <w:t>Over time, the notion of conviction and sentencing have been misunderstood. Consequently, it is imperative to note that conviction comes before sentencing.</w:t>
      </w:r>
    </w:p>
    <w:p w:rsidR="004E5766" w:rsidRDefault="004E5766" w:rsidP="004E5766">
      <w:pPr>
        <w:pStyle w:val="ListParagraph"/>
        <w:rPr>
          <w:rFonts w:ascii="Times New Roman" w:hAnsi="Times New Roman" w:cs="Times New Roman"/>
          <w:b/>
          <w:sz w:val="28"/>
          <w:szCs w:val="28"/>
        </w:rPr>
      </w:pPr>
      <w:r>
        <w:rPr>
          <w:rFonts w:ascii="Times New Roman" w:hAnsi="Times New Roman" w:cs="Times New Roman"/>
          <w:sz w:val="28"/>
          <w:szCs w:val="28"/>
        </w:rPr>
        <w:t xml:space="preserve">The conviction words are usually quoted as </w:t>
      </w:r>
      <w:r w:rsidRPr="004E5766">
        <w:rPr>
          <w:rFonts w:ascii="Times New Roman" w:hAnsi="Times New Roman" w:cs="Times New Roman"/>
          <w:b/>
          <w:sz w:val="28"/>
          <w:szCs w:val="28"/>
        </w:rPr>
        <w:t>“I hereby find you guilty of</w:t>
      </w:r>
      <w:r>
        <w:rPr>
          <w:rFonts w:ascii="Times New Roman" w:hAnsi="Times New Roman" w:cs="Times New Roman"/>
          <w:b/>
          <w:sz w:val="28"/>
          <w:szCs w:val="28"/>
        </w:rPr>
        <w:t>…”</w:t>
      </w:r>
    </w:p>
    <w:p w:rsidR="004E5766" w:rsidRDefault="004E5766" w:rsidP="004E5766">
      <w:pPr>
        <w:pStyle w:val="ListParagraph"/>
        <w:rPr>
          <w:rFonts w:ascii="Times New Roman" w:hAnsi="Times New Roman" w:cs="Times New Roman"/>
          <w:b/>
          <w:sz w:val="28"/>
          <w:szCs w:val="28"/>
        </w:rPr>
      </w:pPr>
    </w:p>
    <w:p w:rsidR="004E5766" w:rsidRPr="005E57FA" w:rsidRDefault="004E5766" w:rsidP="004E5766">
      <w:pPr>
        <w:pStyle w:val="ListParagraph"/>
        <w:numPr>
          <w:ilvl w:val="0"/>
          <w:numId w:val="2"/>
        </w:numPr>
        <w:rPr>
          <w:rFonts w:ascii="Times New Roman" w:hAnsi="Times New Roman" w:cs="Times New Roman"/>
          <w:b/>
          <w:sz w:val="28"/>
          <w:szCs w:val="28"/>
        </w:rPr>
      </w:pPr>
      <w:proofErr w:type="spellStart"/>
      <w:r w:rsidRPr="004E5766">
        <w:rPr>
          <w:rFonts w:ascii="Times New Roman" w:hAnsi="Times New Roman" w:cs="Times New Roman"/>
          <w:b/>
          <w:sz w:val="28"/>
          <w:szCs w:val="28"/>
        </w:rPr>
        <w:t>Allocutus</w:t>
      </w:r>
      <w:proofErr w:type="spellEnd"/>
      <w:r w:rsidRPr="004E5766">
        <w:rPr>
          <w:rFonts w:ascii="Times New Roman" w:hAnsi="Times New Roman" w:cs="Times New Roman"/>
          <w:b/>
          <w:sz w:val="28"/>
          <w:szCs w:val="28"/>
        </w:rPr>
        <w:t>:</w:t>
      </w:r>
      <w:r w:rsidR="005E57FA">
        <w:rPr>
          <w:rFonts w:ascii="Times New Roman" w:hAnsi="Times New Roman" w:cs="Times New Roman"/>
          <w:b/>
          <w:sz w:val="28"/>
          <w:szCs w:val="28"/>
        </w:rPr>
        <w:t xml:space="preserve"> </w:t>
      </w:r>
      <w:r w:rsidR="005E57FA">
        <w:rPr>
          <w:rFonts w:ascii="Times New Roman" w:hAnsi="Times New Roman" w:cs="Times New Roman"/>
          <w:sz w:val="28"/>
          <w:szCs w:val="28"/>
        </w:rPr>
        <w:t>This is a plea for the mitigation of punishment on the Accused after being found guilty.</w:t>
      </w:r>
    </w:p>
    <w:p w:rsidR="005E57FA" w:rsidRDefault="005E57FA" w:rsidP="005E57FA">
      <w:pPr>
        <w:pStyle w:val="ListParagraph"/>
        <w:rPr>
          <w:rFonts w:ascii="Times New Roman" w:hAnsi="Times New Roman" w:cs="Times New Roman"/>
          <w:sz w:val="28"/>
          <w:szCs w:val="28"/>
        </w:rPr>
      </w:pPr>
      <w:r>
        <w:rPr>
          <w:rFonts w:ascii="Times New Roman" w:hAnsi="Times New Roman" w:cs="Times New Roman"/>
          <w:sz w:val="28"/>
          <w:szCs w:val="28"/>
        </w:rPr>
        <w:t>However, it is of no value when an Accused have been found guilty of a capital offence requiring mandatory punishment. For instance; murder.</w:t>
      </w:r>
    </w:p>
    <w:p w:rsidR="00940CF7" w:rsidRDefault="00940CF7" w:rsidP="005E57FA">
      <w:pPr>
        <w:pStyle w:val="ListParagraph"/>
        <w:rPr>
          <w:rFonts w:ascii="Times New Roman" w:hAnsi="Times New Roman" w:cs="Times New Roman"/>
          <w:sz w:val="28"/>
          <w:szCs w:val="28"/>
        </w:rPr>
      </w:pPr>
    </w:p>
    <w:p w:rsidR="00940CF7" w:rsidRPr="00940CF7" w:rsidRDefault="00940CF7" w:rsidP="00940CF7">
      <w:pPr>
        <w:pStyle w:val="ListParagraph"/>
        <w:numPr>
          <w:ilvl w:val="0"/>
          <w:numId w:val="2"/>
        </w:numPr>
        <w:rPr>
          <w:rFonts w:ascii="Times New Roman" w:hAnsi="Times New Roman" w:cs="Times New Roman"/>
          <w:b/>
          <w:sz w:val="28"/>
          <w:szCs w:val="28"/>
        </w:rPr>
      </w:pPr>
      <w:r w:rsidRPr="00940CF7">
        <w:rPr>
          <w:rFonts w:ascii="Times New Roman" w:hAnsi="Times New Roman" w:cs="Times New Roman"/>
          <w:b/>
          <w:sz w:val="28"/>
          <w:szCs w:val="28"/>
        </w:rPr>
        <w:t xml:space="preserve">Sentencing: </w:t>
      </w:r>
      <w:r>
        <w:rPr>
          <w:rFonts w:ascii="Times New Roman" w:hAnsi="Times New Roman" w:cs="Times New Roman"/>
          <w:sz w:val="28"/>
          <w:szCs w:val="28"/>
        </w:rPr>
        <w:t>This is the pronouncement of the punishment on the Accused when found guilty. There are three types of sentence; Mandatory sentence, Maximum sentence and Minimum sentence.</w:t>
      </w:r>
    </w:p>
    <w:p w:rsidR="00940CF7" w:rsidRDefault="00940CF7" w:rsidP="00940CF7">
      <w:pPr>
        <w:pStyle w:val="ListParagraph"/>
        <w:rPr>
          <w:rFonts w:ascii="Times New Roman" w:hAnsi="Times New Roman" w:cs="Times New Roman"/>
          <w:sz w:val="28"/>
          <w:szCs w:val="28"/>
        </w:rPr>
      </w:pPr>
      <w:r>
        <w:rPr>
          <w:rFonts w:ascii="Times New Roman" w:hAnsi="Times New Roman" w:cs="Times New Roman"/>
          <w:sz w:val="28"/>
          <w:szCs w:val="28"/>
        </w:rPr>
        <w:t xml:space="preserve">Furthermore, such sentences ranges from; Imprisonment, Death penalty(It is noteworthy to know that Nigeria has joined the league of nations that do not exercise capital punishment, rather life imprisonment is administered), Fines, canning, </w:t>
      </w:r>
      <w:proofErr w:type="spellStart"/>
      <w:r>
        <w:rPr>
          <w:rFonts w:ascii="Times New Roman" w:hAnsi="Times New Roman" w:cs="Times New Roman"/>
          <w:sz w:val="28"/>
          <w:szCs w:val="28"/>
        </w:rPr>
        <w:t>Haddi</w:t>
      </w:r>
      <w:proofErr w:type="spellEnd"/>
      <w:r>
        <w:rPr>
          <w:rFonts w:ascii="Times New Roman" w:hAnsi="Times New Roman" w:cs="Times New Roman"/>
          <w:sz w:val="28"/>
          <w:szCs w:val="28"/>
        </w:rPr>
        <w:t xml:space="preserve"> lashing.</w:t>
      </w:r>
    </w:p>
    <w:p w:rsidR="00E12E93" w:rsidRDefault="00E12E93" w:rsidP="00E12E93">
      <w:pPr>
        <w:rPr>
          <w:rFonts w:ascii="Times New Roman" w:hAnsi="Times New Roman" w:cs="Times New Roman"/>
          <w:sz w:val="28"/>
          <w:szCs w:val="28"/>
        </w:rPr>
      </w:pPr>
    </w:p>
    <w:p w:rsidR="00E12E93" w:rsidRDefault="00E12E93" w:rsidP="00E12E93">
      <w:pPr>
        <w:rPr>
          <w:rFonts w:ascii="Times New Roman" w:hAnsi="Times New Roman" w:cs="Times New Roman"/>
          <w:sz w:val="28"/>
          <w:szCs w:val="28"/>
        </w:rPr>
      </w:pPr>
    </w:p>
    <w:p w:rsidR="00E12E93" w:rsidRDefault="00E12E93" w:rsidP="00E12E9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Comment on the remedy available to the accused after the imposition of sentence.</w:t>
      </w:r>
    </w:p>
    <w:p w:rsidR="00E12E93" w:rsidRDefault="00E12E93" w:rsidP="00D30337">
      <w:pPr>
        <w:jc w:val="both"/>
        <w:rPr>
          <w:rFonts w:ascii="Times New Roman" w:hAnsi="Times New Roman" w:cs="Times New Roman"/>
          <w:b/>
          <w:sz w:val="28"/>
          <w:szCs w:val="28"/>
        </w:rPr>
      </w:pPr>
    </w:p>
    <w:p w:rsidR="00E12E93" w:rsidRDefault="00E12E93" w:rsidP="00D30337">
      <w:pPr>
        <w:jc w:val="both"/>
        <w:rPr>
          <w:rFonts w:ascii="Times New Roman" w:hAnsi="Times New Roman" w:cs="Times New Roman"/>
          <w:sz w:val="28"/>
          <w:szCs w:val="28"/>
        </w:rPr>
      </w:pPr>
      <w:r>
        <w:rPr>
          <w:rFonts w:ascii="Times New Roman" w:hAnsi="Times New Roman" w:cs="Times New Roman"/>
          <w:sz w:val="28"/>
          <w:szCs w:val="28"/>
        </w:rPr>
        <w:t>After the imposition of sentence of an Accused person, he has at his grasp, appeal to remedy his conviction.</w:t>
      </w:r>
    </w:p>
    <w:p w:rsidR="00E12E93" w:rsidRDefault="00E12E93" w:rsidP="00D30337">
      <w:pPr>
        <w:jc w:val="both"/>
        <w:rPr>
          <w:rFonts w:ascii="Times New Roman" w:hAnsi="Times New Roman" w:cs="Times New Roman"/>
          <w:sz w:val="28"/>
          <w:szCs w:val="28"/>
        </w:rPr>
      </w:pPr>
      <w:r>
        <w:rPr>
          <w:rFonts w:ascii="Times New Roman" w:hAnsi="Times New Roman" w:cs="Times New Roman"/>
          <w:sz w:val="28"/>
          <w:szCs w:val="28"/>
        </w:rPr>
        <w:t xml:space="preserve">Appeal is an invitation to a higher court to review the decisions of a lower Court, to find </w:t>
      </w:r>
      <w:r w:rsidR="002C4BB7">
        <w:rPr>
          <w:rFonts w:ascii="Times New Roman" w:hAnsi="Times New Roman" w:cs="Times New Roman"/>
          <w:sz w:val="28"/>
          <w:szCs w:val="28"/>
        </w:rPr>
        <w:t>out whether on the proper consideration of those facts placed before it and the applicable law that the Court arrived at a correct decision.</w:t>
      </w:r>
    </w:p>
    <w:p w:rsidR="002C4BB7" w:rsidRDefault="002C4BB7" w:rsidP="00D30337">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It is pertinent to note that an appeal is a rehearing and not a retrial as stated in the case of </w:t>
      </w:r>
      <w:proofErr w:type="spellStart"/>
      <w:r w:rsidRPr="002C4BB7">
        <w:rPr>
          <w:rFonts w:ascii="Times New Roman" w:hAnsi="Times New Roman" w:cs="Times New Roman"/>
          <w:b/>
          <w:sz w:val="28"/>
          <w:szCs w:val="28"/>
        </w:rPr>
        <w:t>Oredoyin</w:t>
      </w:r>
      <w:proofErr w:type="spellEnd"/>
      <w:r w:rsidRPr="002C4BB7">
        <w:rPr>
          <w:rFonts w:ascii="Times New Roman" w:hAnsi="Times New Roman" w:cs="Times New Roman"/>
          <w:b/>
          <w:sz w:val="28"/>
          <w:szCs w:val="28"/>
        </w:rPr>
        <w:t xml:space="preserve"> v </w:t>
      </w:r>
      <w:proofErr w:type="spellStart"/>
      <w:r w:rsidRPr="002C4BB7">
        <w:rPr>
          <w:rFonts w:ascii="Times New Roman" w:hAnsi="Times New Roman" w:cs="Times New Roman"/>
          <w:b/>
          <w:sz w:val="28"/>
          <w:szCs w:val="28"/>
        </w:rPr>
        <w:t>Arowlo</w:t>
      </w:r>
      <w:proofErr w:type="spellEnd"/>
      <w:r>
        <w:rPr>
          <w:rFonts w:ascii="Times New Roman" w:hAnsi="Times New Roman" w:cs="Times New Roman"/>
          <w:b/>
          <w:sz w:val="28"/>
          <w:szCs w:val="28"/>
        </w:rPr>
        <w:t>.</w:t>
      </w:r>
    </w:p>
    <w:p w:rsidR="00315E9C" w:rsidRDefault="00315E9C" w:rsidP="00D30337">
      <w:pPr>
        <w:jc w:val="both"/>
        <w:rPr>
          <w:rFonts w:ascii="Times New Roman" w:hAnsi="Times New Roman" w:cs="Times New Roman"/>
          <w:sz w:val="28"/>
          <w:szCs w:val="28"/>
        </w:rPr>
      </w:pPr>
      <w:r>
        <w:rPr>
          <w:rFonts w:ascii="Times New Roman" w:hAnsi="Times New Roman" w:cs="Times New Roman"/>
          <w:sz w:val="28"/>
          <w:szCs w:val="28"/>
        </w:rPr>
        <w:t xml:space="preserve">The Constitutional backing of this remedy is set out in </w:t>
      </w:r>
      <w:r w:rsidR="0011207E">
        <w:rPr>
          <w:rFonts w:ascii="Times New Roman" w:hAnsi="Times New Roman" w:cs="Times New Roman"/>
          <w:b/>
          <w:sz w:val="28"/>
          <w:szCs w:val="28"/>
        </w:rPr>
        <w:t>S</w:t>
      </w:r>
      <w:r w:rsidRPr="00315E9C">
        <w:rPr>
          <w:rFonts w:ascii="Times New Roman" w:hAnsi="Times New Roman" w:cs="Times New Roman"/>
          <w:b/>
          <w:sz w:val="28"/>
          <w:szCs w:val="28"/>
        </w:rPr>
        <w:t>ection 272 and 241 of the Constitution of the Federal Republic of Nigeria</w:t>
      </w:r>
      <w:r>
        <w:rPr>
          <w:rFonts w:ascii="Times New Roman" w:hAnsi="Times New Roman" w:cs="Times New Roman"/>
          <w:sz w:val="28"/>
          <w:szCs w:val="28"/>
        </w:rPr>
        <w:t xml:space="preserve"> to the effect that the High Court of a State shall have appellate jurisdiction on criminal matters </w:t>
      </w:r>
      <w:r w:rsidR="000E31BC">
        <w:rPr>
          <w:rFonts w:ascii="Times New Roman" w:hAnsi="Times New Roman" w:cs="Times New Roman"/>
          <w:sz w:val="28"/>
          <w:szCs w:val="28"/>
        </w:rPr>
        <w:t>and appeal shall lie as of right to the Court of Appeal on any final criminal decision of the Federal High Court or the State High Court at the first instance or where a death sentence has been imposed</w:t>
      </w:r>
      <w:r w:rsidR="0011207E">
        <w:rPr>
          <w:rFonts w:ascii="Times New Roman" w:hAnsi="Times New Roman" w:cs="Times New Roman"/>
          <w:sz w:val="28"/>
          <w:szCs w:val="28"/>
        </w:rPr>
        <w:t xml:space="preserve"> respectively.</w:t>
      </w:r>
    </w:p>
    <w:p w:rsidR="0011207E" w:rsidRDefault="0011207E" w:rsidP="00D30337">
      <w:pPr>
        <w:jc w:val="both"/>
        <w:rPr>
          <w:rFonts w:ascii="Times New Roman" w:hAnsi="Times New Roman" w:cs="Times New Roman"/>
          <w:sz w:val="28"/>
          <w:szCs w:val="28"/>
        </w:rPr>
      </w:pPr>
      <w:r>
        <w:rPr>
          <w:rFonts w:ascii="Times New Roman" w:hAnsi="Times New Roman" w:cs="Times New Roman"/>
          <w:sz w:val="28"/>
          <w:szCs w:val="28"/>
        </w:rPr>
        <w:t>However, while the option of appeal is at the grasp of the Accused, he shall do so timeously by filing a Notice of Appeal signed by either him or his counsel at the registry of the Court that gave the judgement (Magistrate or High Court) and if refused, he may file it at the registry of the Court being appealed to.</w:t>
      </w:r>
    </w:p>
    <w:p w:rsidR="0011207E" w:rsidRDefault="0011207E" w:rsidP="00D30337">
      <w:pPr>
        <w:jc w:val="both"/>
        <w:rPr>
          <w:rFonts w:ascii="Times New Roman" w:hAnsi="Times New Roman" w:cs="Times New Roman"/>
          <w:sz w:val="28"/>
          <w:szCs w:val="28"/>
        </w:rPr>
      </w:pPr>
      <w:r>
        <w:rPr>
          <w:rFonts w:ascii="Times New Roman" w:hAnsi="Times New Roman" w:cs="Times New Roman"/>
          <w:sz w:val="28"/>
          <w:szCs w:val="28"/>
        </w:rPr>
        <w:t xml:space="preserve">Pursuant to section 69 of the Magistrates’ Court Law, a criminal appeal to the High Court shall be filed within 30 days after the delivery of the judgement by the Magistrate Court. </w:t>
      </w:r>
    </w:p>
    <w:p w:rsidR="0011207E" w:rsidRDefault="0011207E" w:rsidP="00D30337">
      <w:pPr>
        <w:jc w:val="both"/>
        <w:rPr>
          <w:rFonts w:ascii="Times New Roman" w:hAnsi="Times New Roman" w:cs="Times New Roman"/>
          <w:sz w:val="28"/>
          <w:szCs w:val="28"/>
        </w:rPr>
      </w:pPr>
      <w:r>
        <w:rPr>
          <w:rFonts w:ascii="Times New Roman" w:hAnsi="Times New Roman" w:cs="Times New Roman"/>
          <w:sz w:val="28"/>
          <w:szCs w:val="28"/>
        </w:rPr>
        <w:t xml:space="preserve">With respect to the Court of Appeal, a criminal appeal shall be filed within 90 days after the delivery of the judgement by the High Court or the Federal High Court as enshrined in </w:t>
      </w:r>
      <w:r w:rsidRPr="0011207E">
        <w:rPr>
          <w:rFonts w:ascii="Times New Roman" w:hAnsi="Times New Roman" w:cs="Times New Roman"/>
          <w:b/>
          <w:sz w:val="28"/>
          <w:szCs w:val="28"/>
        </w:rPr>
        <w:t>Section 24 of the Court of Appeal Act</w:t>
      </w:r>
      <w:r>
        <w:rPr>
          <w:rFonts w:ascii="Times New Roman" w:hAnsi="Times New Roman" w:cs="Times New Roman"/>
          <w:sz w:val="28"/>
          <w:szCs w:val="28"/>
        </w:rPr>
        <w:t>, and further appeal to the Supreme Court shall be within 30 days after the delivery of judgement of the Court of Appeal.</w:t>
      </w:r>
    </w:p>
    <w:p w:rsidR="00D24A65" w:rsidRDefault="00D24A65" w:rsidP="00D30337">
      <w:pPr>
        <w:jc w:val="both"/>
        <w:rPr>
          <w:rFonts w:ascii="Times New Roman" w:hAnsi="Times New Roman" w:cs="Times New Roman"/>
          <w:sz w:val="28"/>
          <w:szCs w:val="28"/>
        </w:rPr>
      </w:pPr>
      <w:r>
        <w:rPr>
          <w:rFonts w:ascii="Times New Roman" w:hAnsi="Times New Roman" w:cs="Times New Roman"/>
          <w:sz w:val="28"/>
          <w:szCs w:val="28"/>
        </w:rPr>
        <w:t xml:space="preserve">Conclusively, when the Accused person (Appellant) has taken advantage of appealing his conviction to a higher Court, and the appeal is heard in his </w:t>
      </w:r>
      <w:proofErr w:type="spellStart"/>
      <w:r>
        <w:rPr>
          <w:rFonts w:ascii="Times New Roman" w:hAnsi="Times New Roman" w:cs="Times New Roman"/>
          <w:sz w:val="28"/>
          <w:szCs w:val="28"/>
        </w:rPr>
        <w:t>favour</w:t>
      </w:r>
      <w:proofErr w:type="spellEnd"/>
      <w:r>
        <w:rPr>
          <w:rFonts w:ascii="Times New Roman" w:hAnsi="Times New Roman" w:cs="Times New Roman"/>
          <w:sz w:val="28"/>
          <w:szCs w:val="28"/>
        </w:rPr>
        <w:t xml:space="preserve">, his conviction and sentencing by the lower Court is set aside. Hence, he is discharged and acquitted of all criminal liabilities. </w:t>
      </w:r>
    </w:p>
    <w:p w:rsidR="00EF27D8" w:rsidRDefault="00EF27D8" w:rsidP="00D30337">
      <w:pPr>
        <w:pStyle w:val="ListParagraph"/>
        <w:jc w:val="both"/>
        <w:rPr>
          <w:rFonts w:ascii="Times New Roman" w:hAnsi="Times New Roman" w:cs="Times New Roman"/>
          <w:sz w:val="28"/>
          <w:szCs w:val="28"/>
        </w:rPr>
      </w:pPr>
    </w:p>
    <w:p w:rsidR="00EF27D8" w:rsidRDefault="00EF27D8" w:rsidP="00940CF7">
      <w:pPr>
        <w:pStyle w:val="ListParagraph"/>
        <w:rPr>
          <w:rFonts w:ascii="Times New Roman" w:hAnsi="Times New Roman" w:cs="Times New Roman"/>
          <w:sz w:val="28"/>
          <w:szCs w:val="28"/>
        </w:rPr>
      </w:pPr>
    </w:p>
    <w:p w:rsidR="00EF27D8" w:rsidRDefault="00EF27D8" w:rsidP="00940CF7">
      <w:pPr>
        <w:pStyle w:val="ListParagraph"/>
        <w:rPr>
          <w:rFonts w:ascii="Times New Roman" w:hAnsi="Times New Roman" w:cs="Times New Roman"/>
          <w:sz w:val="28"/>
          <w:szCs w:val="28"/>
        </w:rPr>
      </w:pPr>
    </w:p>
    <w:p w:rsidR="00EF27D8" w:rsidRDefault="00EF27D8" w:rsidP="00940CF7">
      <w:pPr>
        <w:pStyle w:val="ListParagraph"/>
        <w:rPr>
          <w:rFonts w:ascii="Times New Roman" w:hAnsi="Times New Roman" w:cs="Times New Roman"/>
          <w:sz w:val="28"/>
          <w:szCs w:val="28"/>
        </w:rPr>
      </w:pPr>
    </w:p>
    <w:p w:rsidR="00EF27D8" w:rsidRDefault="00EF27D8" w:rsidP="00940CF7">
      <w:pPr>
        <w:pStyle w:val="ListParagraph"/>
        <w:rPr>
          <w:rFonts w:ascii="Times New Roman" w:hAnsi="Times New Roman" w:cs="Times New Roman"/>
          <w:sz w:val="28"/>
          <w:szCs w:val="28"/>
        </w:rPr>
      </w:pPr>
    </w:p>
    <w:p w:rsidR="00EF27D8" w:rsidRDefault="00EF27D8" w:rsidP="00940CF7">
      <w:pPr>
        <w:pStyle w:val="ListParagraph"/>
        <w:rPr>
          <w:rFonts w:ascii="Times New Roman" w:hAnsi="Times New Roman" w:cs="Times New Roman"/>
          <w:sz w:val="28"/>
          <w:szCs w:val="28"/>
        </w:rPr>
      </w:pPr>
    </w:p>
    <w:p w:rsidR="00EF27D8" w:rsidRDefault="00EF27D8" w:rsidP="00940CF7">
      <w:pPr>
        <w:pStyle w:val="ListParagraph"/>
        <w:rPr>
          <w:rFonts w:ascii="Times New Roman" w:hAnsi="Times New Roman" w:cs="Times New Roman"/>
          <w:sz w:val="28"/>
          <w:szCs w:val="28"/>
        </w:rPr>
      </w:pPr>
    </w:p>
    <w:p w:rsidR="00EF27D8" w:rsidRDefault="00EF27D8" w:rsidP="00940CF7">
      <w:pPr>
        <w:pStyle w:val="ListParagraph"/>
        <w:rPr>
          <w:rFonts w:ascii="Times New Roman" w:hAnsi="Times New Roman" w:cs="Times New Roman"/>
          <w:sz w:val="28"/>
          <w:szCs w:val="28"/>
        </w:rPr>
      </w:pPr>
    </w:p>
    <w:p w:rsidR="00EF27D8" w:rsidRDefault="00EF27D8" w:rsidP="00940CF7">
      <w:pPr>
        <w:pStyle w:val="ListParagraph"/>
        <w:rPr>
          <w:rFonts w:ascii="Times New Roman" w:hAnsi="Times New Roman" w:cs="Times New Roman"/>
          <w:sz w:val="28"/>
          <w:szCs w:val="28"/>
        </w:rPr>
      </w:pPr>
    </w:p>
    <w:p w:rsidR="00EF27D8" w:rsidRDefault="00EF27D8" w:rsidP="00940CF7">
      <w:pPr>
        <w:pStyle w:val="ListParagraph"/>
        <w:rPr>
          <w:rFonts w:ascii="Times New Roman" w:hAnsi="Times New Roman" w:cs="Times New Roman"/>
          <w:sz w:val="28"/>
          <w:szCs w:val="28"/>
        </w:rPr>
      </w:pPr>
    </w:p>
    <w:p w:rsidR="00EF27D8" w:rsidRDefault="00EF27D8" w:rsidP="00940CF7">
      <w:pPr>
        <w:pStyle w:val="ListParagraph"/>
        <w:rPr>
          <w:rFonts w:ascii="Times New Roman" w:hAnsi="Times New Roman" w:cs="Times New Roman"/>
          <w:sz w:val="28"/>
          <w:szCs w:val="28"/>
        </w:rPr>
      </w:pPr>
    </w:p>
    <w:p w:rsidR="00EF27D8" w:rsidRDefault="00EF27D8" w:rsidP="00940CF7">
      <w:pPr>
        <w:pStyle w:val="ListParagraph"/>
        <w:rPr>
          <w:rFonts w:ascii="Times New Roman" w:hAnsi="Times New Roman" w:cs="Times New Roman"/>
          <w:sz w:val="28"/>
          <w:szCs w:val="28"/>
        </w:rPr>
      </w:pPr>
    </w:p>
    <w:p w:rsidR="00EF27D8" w:rsidRDefault="00EF27D8" w:rsidP="00940CF7">
      <w:pPr>
        <w:pStyle w:val="ListParagraph"/>
        <w:rPr>
          <w:rFonts w:ascii="Times New Roman" w:hAnsi="Times New Roman" w:cs="Times New Roman"/>
          <w:sz w:val="28"/>
          <w:szCs w:val="28"/>
        </w:rPr>
      </w:pPr>
    </w:p>
    <w:p w:rsidR="00EF27D8" w:rsidRDefault="00EF27D8" w:rsidP="00940CF7">
      <w:pPr>
        <w:pStyle w:val="ListParagraph"/>
        <w:rPr>
          <w:rFonts w:ascii="Times New Roman" w:hAnsi="Times New Roman" w:cs="Times New Roman"/>
          <w:sz w:val="28"/>
          <w:szCs w:val="28"/>
        </w:rPr>
      </w:pPr>
    </w:p>
    <w:p w:rsidR="00EF27D8" w:rsidRDefault="00EF27D8" w:rsidP="00940CF7">
      <w:pPr>
        <w:pStyle w:val="ListParagraph"/>
        <w:rPr>
          <w:rFonts w:ascii="Times New Roman" w:hAnsi="Times New Roman" w:cs="Times New Roman"/>
          <w:sz w:val="28"/>
          <w:szCs w:val="28"/>
        </w:rPr>
      </w:pPr>
    </w:p>
    <w:p w:rsidR="00EF27D8" w:rsidRDefault="00EF27D8" w:rsidP="00EF27D8">
      <w:pPr>
        <w:pStyle w:val="ListParagraph"/>
        <w:numPr>
          <w:ilvl w:val="0"/>
          <w:numId w:val="3"/>
        </w:numPr>
        <w:rPr>
          <w:rFonts w:ascii="Times New Roman" w:hAnsi="Times New Roman" w:cs="Times New Roman"/>
          <w:b/>
          <w:sz w:val="28"/>
          <w:szCs w:val="28"/>
        </w:rPr>
      </w:pPr>
      <w:r w:rsidRPr="00EF27D8">
        <w:rPr>
          <w:rFonts w:ascii="Times New Roman" w:hAnsi="Times New Roman" w:cs="Times New Roman"/>
          <w:b/>
          <w:sz w:val="28"/>
          <w:szCs w:val="28"/>
        </w:rPr>
        <w:t>Comment on the various methods by which civil proceedings may be commenced in the High Court.</w:t>
      </w:r>
    </w:p>
    <w:p w:rsidR="00264749" w:rsidRDefault="00264749" w:rsidP="00264749">
      <w:pPr>
        <w:pStyle w:val="ListParagraph"/>
        <w:rPr>
          <w:rFonts w:ascii="Times New Roman" w:hAnsi="Times New Roman" w:cs="Times New Roman"/>
          <w:b/>
          <w:sz w:val="28"/>
          <w:szCs w:val="28"/>
        </w:rPr>
      </w:pPr>
    </w:p>
    <w:p w:rsidR="00C239BF" w:rsidRDefault="00264749" w:rsidP="00C239BF">
      <w:pPr>
        <w:pStyle w:val="ListParagraph"/>
        <w:rPr>
          <w:rFonts w:ascii="Times New Roman" w:hAnsi="Times New Roman" w:cs="Times New Roman"/>
          <w:sz w:val="28"/>
          <w:szCs w:val="28"/>
        </w:rPr>
      </w:pPr>
      <w:r>
        <w:rPr>
          <w:rFonts w:ascii="Times New Roman" w:hAnsi="Times New Roman" w:cs="Times New Roman"/>
          <w:sz w:val="28"/>
          <w:szCs w:val="28"/>
        </w:rPr>
        <w:t xml:space="preserve">Upon the identification of a civil wrong the </w:t>
      </w:r>
      <w:r w:rsidR="00C239BF">
        <w:rPr>
          <w:rFonts w:ascii="Times New Roman" w:hAnsi="Times New Roman" w:cs="Times New Roman"/>
          <w:sz w:val="28"/>
          <w:szCs w:val="28"/>
        </w:rPr>
        <w:t>claimant’s</w:t>
      </w:r>
      <w:r>
        <w:rPr>
          <w:rFonts w:ascii="Times New Roman" w:hAnsi="Times New Roman" w:cs="Times New Roman"/>
          <w:sz w:val="28"/>
          <w:szCs w:val="28"/>
        </w:rPr>
        <w:t xml:space="preserve"> counsel is obliged to identify the appropriate court with th</w:t>
      </w:r>
      <w:r w:rsidR="00C239BF">
        <w:rPr>
          <w:rFonts w:ascii="Times New Roman" w:hAnsi="Times New Roman" w:cs="Times New Roman"/>
          <w:sz w:val="28"/>
          <w:szCs w:val="28"/>
        </w:rPr>
        <w:t xml:space="preserve">e jurisdiction to hear the suit. Hence the claimant’s counsel may commence the action by way of the most appropriate means listed, </w:t>
      </w:r>
      <w:proofErr w:type="spellStart"/>
      <w:r w:rsidR="00C239BF">
        <w:rPr>
          <w:rFonts w:ascii="Times New Roman" w:hAnsi="Times New Roman" w:cs="Times New Roman"/>
          <w:sz w:val="28"/>
          <w:szCs w:val="28"/>
        </w:rPr>
        <w:t>viz</w:t>
      </w:r>
      <w:proofErr w:type="spellEnd"/>
      <w:r w:rsidR="00C239BF">
        <w:rPr>
          <w:rFonts w:ascii="Times New Roman" w:hAnsi="Times New Roman" w:cs="Times New Roman"/>
          <w:sz w:val="28"/>
          <w:szCs w:val="28"/>
        </w:rPr>
        <w:t>: Writ of summons, Originating su</w:t>
      </w:r>
      <w:r w:rsidR="003356F8">
        <w:rPr>
          <w:rFonts w:ascii="Times New Roman" w:hAnsi="Times New Roman" w:cs="Times New Roman"/>
          <w:sz w:val="28"/>
          <w:szCs w:val="28"/>
        </w:rPr>
        <w:t>mmons, Originating Motion, and P</w:t>
      </w:r>
      <w:r w:rsidR="00C239BF">
        <w:rPr>
          <w:rFonts w:ascii="Times New Roman" w:hAnsi="Times New Roman" w:cs="Times New Roman"/>
          <w:sz w:val="28"/>
          <w:szCs w:val="28"/>
        </w:rPr>
        <w:t>etition.</w:t>
      </w:r>
    </w:p>
    <w:p w:rsidR="00C239BF" w:rsidRDefault="00C239BF" w:rsidP="00C239BF">
      <w:pPr>
        <w:pStyle w:val="ListParagraph"/>
        <w:rPr>
          <w:rFonts w:ascii="Times New Roman" w:hAnsi="Times New Roman" w:cs="Times New Roman"/>
          <w:sz w:val="28"/>
          <w:szCs w:val="28"/>
        </w:rPr>
      </w:pPr>
    </w:p>
    <w:p w:rsidR="00C239BF" w:rsidRPr="003356F8" w:rsidRDefault="00C239BF" w:rsidP="00C239BF">
      <w:pPr>
        <w:pStyle w:val="ListParagraph"/>
        <w:numPr>
          <w:ilvl w:val="0"/>
          <w:numId w:val="2"/>
        </w:numPr>
        <w:rPr>
          <w:rFonts w:ascii="Times New Roman" w:hAnsi="Times New Roman" w:cs="Times New Roman"/>
          <w:b/>
          <w:sz w:val="28"/>
          <w:szCs w:val="28"/>
        </w:rPr>
      </w:pPr>
      <w:r w:rsidRPr="00C239BF">
        <w:rPr>
          <w:rFonts w:ascii="Times New Roman" w:hAnsi="Times New Roman" w:cs="Times New Roman"/>
          <w:b/>
          <w:sz w:val="28"/>
          <w:szCs w:val="28"/>
        </w:rPr>
        <w:t>Writ of summons</w:t>
      </w:r>
      <w:r>
        <w:rPr>
          <w:rFonts w:ascii="Times New Roman" w:hAnsi="Times New Roman" w:cs="Times New Roman"/>
          <w:b/>
          <w:sz w:val="28"/>
          <w:szCs w:val="28"/>
        </w:rPr>
        <w:t xml:space="preserve">: </w:t>
      </w:r>
      <w:r>
        <w:rPr>
          <w:rFonts w:ascii="Times New Roman" w:hAnsi="Times New Roman" w:cs="Times New Roman"/>
          <w:sz w:val="28"/>
          <w:szCs w:val="28"/>
        </w:rPr>
        <w:t xml:space="preserve">This is the most common mode of commencing a civil action on contentious matters. </w:t>
      </w:r>
      <w:proofErr w:type="gramStart"/>
      <w:r>
        <w:rPr>
          <w:rFonts w:ascii="Times New Roman" w:hAnsi="Times New Roman" w:cs="Times New Roman"/>
          <w:sz w:val="28"/>
          <w:szCs w:val="28"/>
        </w:rPr>
        <w:t>i.e</w:t>
      </w:r>
      <w:proofErr w:type="gramEnd"/>
      <w:r>
        <w:rPr>
          <w:rFonts w:ascii="Times New Roman" w:hAnsi="Times New Roman" w:cs="Times New Roman"/>
          <w:sz w:val="28"/>
          <w:szCs w:val="28"/>
        </w:rPr>
        <w:t>.</w:t>
      </w:r>
      <w:r w:rsidR="003356F8">
        <w:rPr>
          <w:rFonts w:ascii="Times New Roman" w:hAnsi="Times New Roman" w:cs="Times New Roman"/>
          <w:sz w:val="28"/>
          <w:szCs w:val="28"/>
        </w:rPr>
        <w:t xml:space="preserve"> when there is a disagreement b</w:t>
      </w:r>
      <w:r w:rsidR="001452E1">
        <w:rPr>
          <w:rFonts w:ascii="Times New Roman" w:hAnsi="Times New Roman" w:cs="Times New Roman"/>
          <w:sz w:val="28"/>
          <w:szCs w:val="28"/>
        </w:rPr>
        <w:t>etween the P</w:t>
      </w:r>
      <w:r w:rsidR="003356F8">
        <w:rPr>
          <w:rFonts w:ascii="Times New Roman" w:hAnsi="Times New Roman" w:cs="Times New Roman"/>
          <w:sz w:val="28"/>
          <w:szCs w:val="28"/>
        </w:rPr>
        <w:t xml:space="preserve">arties with respect to the subject matter of the suit. For example, dispute on title to land. </w:t>
      </w:r>
    </w:p>
    <w:p w:rsidR="003356F8" w:rsidRDefault="003356F8" w:rsidP="003356F8">
      <w:pPr>
        <w:pStyle w:val="ListParagraph"/>
        <w:rPr>
          <w:rFonts w:ascii="Times New Roman" w:hAnsi="Times New Roman" w:cs="Times New Roman"/>
          <w:sz w:val="28"/>
          <w:szCs w:val="28"/>
        </w:rPr>
      </w:pPr>
      <w:r>
        <w:rPr>
          <w:rFonts w:ascii="Times New Roman" w:hAnsi="Times New Roman" w:cs="Times New Roman"/>
          <w:sz w:val="28"/>
          <w:szCs w:val="28"/>
        </w:rPr>
        <w:t>It</w:t>
      </w:r>
      <w:r w:rsidR="001452E1">
        <w:rPr>
          <w:rFonts w:ascii="Times New Roman" w:hAnsi="Times New Roman" w:cs="Times New Roman"/>
          <w:sz w:val="28"/>
          <w:szCs w:val="28"/>
        </w:rPr>
        <w:t xml:space="preserve"> is pertinent to know that the P</w:t>
      </w:r>
      <w:r>
        <w:rPr>
          <w:rFonts w:ascii="Times New Roman" w:hAnsi="Times New Roman" w:cs="Times New Roman"/>
          <w:sz w:val="28"/>
          <w:szCs w:val="28"/>
        </w:rPr>
        <w:t>arty who commenced a suit by writ of summon is called “Claimant”, while the person whom the suit is against is called “Defendant”.</w:t>
      </w:r>
    </w:p>
    <w:p w:rsidR="003356F8" w:rsidRPr="001452E1" w:rsidRDefault="003356F8" w:rsidP="003356F8">
      <w:pPr>
        <w:pStyle w:val="ListParagraph"/>
        <w:rPr>
          <w:rFonts w:ascii="Times New Roman" w:hAnsi="Times New Roman" w:cs="Times New Roman"/>
          <w:b/>
          <w:sz w:val="28"/>
          <w:szCs w:val="28"/>
        </w:rPr>
      </w:pPr>
      <w:r>
        <w:rPr>
          <w:rFonts w:ascii="Times New Roman" w:hAnsi="Times New Roman" w:cs="Times New Roman"/>
          <w:sz w:val="28"/>
          <w:szCs w:val="28"/>
        </w:rPr>
        <w:t>Furthermore, when filing writ of sum</w:t>
      </w:r>
      <w:r w:rsidR="001452E1">
        <w:rPr>
          <w:rFonts w:ascii="Times New Roman" w:hAnsi="Times New Roman" w:cs="Times New Roman"/>
          <w:sz w:val="28"/>
          <w:szCs w:val="28"/>
        </w:rPr>
        <w:t>mons at the Court Registry the C</w:t>
      </w:r>
      <w:r>
        <w:rPr>
          <w:rFonts w:ascii="Times New Roman" w:hAnsi="Times New Roman" w:cs="Times New Roman"/>
          <w:sz w:val="28"/>
          <w:szCs w:val="28"/>
        </w:rPr>
        <w:t xml:space="preserve">ounsel has to file it with the following: Statement of claim, list of witnesses to be called at the trial, List of documents (exhibits) to be relied on, written witness statement on Oath, Certificate of pre-action counselling form 6/ pre-action protocol form 01. This is encapsulated in </w:t>
      </w:r>
      <w:r w:rsidRPr="001452E1">
        <w:rPr>
          <w:rFonts w:ascii="Times New Roman" w:hAnsi="Times New Roman" w:cs="Times New Roman"/>
          <w:b/>
          <w:sz w:val="28"/>
          <w:szCs w:val="28"/>
        </w:rPr>
        <w:t>Order 2 rule 2 of the High Court of the Federal Capital Territory (Civil Procedure) Rules</w:t>
      </w:r>
      <w:r w:rsidR="001452E1">
        <w:rPr>
          <w:rFonts w:ascii="Times New Roman" w:hAnsi="Times New Roman" w:cs="Times New Roman"/>
          <w:b/>
          <w:sz w:val="28"/>
          <w:szCs w:val="28"/>
        </w:rPr>
        <w:t>,</w:t>
      </w:r>
      <w:r w:rsidRPr="001452E1">
        <w:rPr>
          <w:rFonts w:ascii="Times New Roman" w:hAnsi="Times New Roman" w:cs="Times New Roman"/>
          <w:b/>
          <w:sz w:val="28"/>
          <w:szCs w:val="28"/>
        </w:rPr>
        <w:t xml:space="preserve"> 2018.</w:t>
      </w:r>
    </w:p>
    <w:p w:rsidR="003356F8" w:rsidRDefault="003356F8" w:rsidP="003356F8">
      <w:pPr>
        <w:pStyle w:val="ListParagraph"/>
        <w:rPr>
          <w:rFonts w:ascii="Times New Roman" w:hAnsi="Times New Roman" w:cs="Times New Roman"/>
          <w:sz w:val="28"/>
          <w:szCs w:val="28"/>
        </w:rPr>
      </w:pPr>
    </w:p>
    <w:p w:rsidR="003356F8" w:rsidRPr="001452E1" w:rsidRDefault="003356F8" w:rsidP="003356F8">
      <w:pPr>
        <w:pStyle w:val="ListParagraph"/>
        <w:numPr>
          <w:ilvl w:val="0"/>
          <w:numId w:val="2"/>
        </w:numPr>
        <w:rPr>
          <w:rFonts w:ascii="Times New Roman" w:hAnsi="Times New Roman" w:cs="Times New Roman"/>
          <w:b/>
          <w:sz w:val="28"/>
          <w:szCs w:val="28"/>
        </w:rPr>
      </w:pPr>
      <w:r w:rsidRPr="003356F8">
        <w:rPr>
          <w:rFonts w:ascii="Times New Roman" w:hAnsi="Times New Roman" w:cs="Times New Roman"/>
          <w:b/>
          <w:sz w:val="28"/>
          <w:szCs w:val="28"/>
        </w:rPr>
        <w:t>Originating summons:</w:t>
      </w:r>
      <w:r>
        <w:rPr>
          <w:rFonts w:ascii="Times New Roman" w:hAnsi="Times New Roman" w:cs="Times New Roman"/>
          <w:b/>
          <w:sz w:val="28"/>
          <w:szCs w:val="28"/>
        </w:rPr>
        <w:t xml:space="preserve"> </w:t>
      </w:r>
      <w:r w:rsidR="001452E1">
        <w:rPr>
          <w:rFonts w:ascii="Times New Roman" w:hAnsi="Times New Roman" w:cs="Times New Roman"/>
          <w:sz w:val="28"/>
          <w:szCs w:val="28"/>
        </w:rPr>
        <w:t>This is used for non-contentious matters like interpretation of laws or deeds or agreements. That is to say, the Parties in the suit are not disputing on a subject matter rather on the purported meaning of a paragraph of a law or deed.</w:t>
      </w:r>
    </w:p>
    <w:p w:rsidR="001452E1" w:rsidRDefault="001452E1" w:rsidP="001452E1">
      <w:pPr>
        <w:pStyle w:val="ListParagraph"/>
        <w:rPr>
          <w:rFonts w:ascii="Times New Roman" w:hAnsi="Times New Roman" w:cs="Times New Roman"/>
          <w:sz w:val="28"/>
          <w:szCs w:val="28"/>
        </w:rPr>
      </w:pPr>
      <w:r>
        <w:rPr>
          <w:rFonts w:ascii="Times New Roman" w:hAnsi="Times New Roman" w:cs="Times New Roman"/>
          <w:sz w:val="28"/>
          <w:szCs w:val="28"/>
        </w:rPr>
        <w:t xml:space="preserve">Pursuant to </w:t>
      </w:r>
      <w:r w:rsidRPr="001452E1">
        <w:rPr>
          <w:rFonts w:ascii="Times New Roman" w:hAnsi="Times New Roman" w:cs="Times New Roman"/>
          <w:b/>
          <w:sz w:val="28"/>
          <w:szCs w:val="28"/>
        </w:rPr>
        <w:t>Order 2 rule 3 of the High court of the</w:t>
      </w:r>
      <w:r>
        <w:rPr>
          <w:rFonts w:ascii="Times New Roman" w:hAnsi="Times New Roman" w:cs="Times New Roman"/>
          <w:sz w:val="28"/>
          <w:szCs w:val="28"/>
        </w:rPr>
        <w:t xml:space="preserve"> </w:t>
      </w:r>
      <w:r>
        <w:rPr>
          <w:rFonts w:ascii="Times New Roman" w:hAnsi="Times New Roman" w:cs="Times New Roman"/>
          <w:b/>
          <w:sz w:val="28"/>
          <w:szCs w:val="28"/>
        </w:rPr>
        <w:t>Federal Capital Territory (Civil Procedure) Rules, 2018</w:t>
      </w:r>
      <w:r>
        <w:rPr>
          <w:rFonts w:ascii="Times New Roman" w:hAnsi="Times New Roman" w:cs="Times New Roman"/>
          <w:sz w:val="28"/>
          <w:szCs w:val="28"/>
        </w:rPr>
        <w:t xml:space="preserve">, when commencing an action with Originating Summons, the Counsel has to file it with the following: Affidavit selling out the fact relied upon, </w:t>
      </w:r>
      <w:r w:rsidR="007D73A4">
        <w:rPr>
          <w:rFonts w:ascii="Times New Roman" w:hAnsi="Times New Roman" w:cs="Times New Roman"/>
          <w:sz w:val="28"/>
          <w:szCs w:val="28"/>
        </w:rPr>
        <w:t>written</w:t>
      </w:r>
      <w:r>
        <w:rPr>
          <w:rFonts w:ascii="Times New Roman" w:hAnsi="Times New Roman" w:cs="Times New Roman"/>
          <w:sz w:val="28"/>
          <w:szCs w:val="28"/>
        </w:rPr>
        <w:t xml:space="preserve"> address in support, all </w:t>
      </w:r>
      <w:r>
        <w:rPr>
          <w:rFonts w:ascii="Times New Roman" w:hAnsi="Times New Roman" w:cs="Times New Roman"/>
          <w:sz w:val="28"/>
          <w:szCs w:val="28"/>
        </w:rPr>
        <w:lastRenderedPageBreak/>
        <w:t>exhibits to be relied upon, certificate of pre-action counselling/ pre-action protocol form 01.</w:t>
      </w:r>
    </w:p>
    <w:p w:rsidR="005A7EB7" w:rsidRDefault="005A7EB7" w:rsidP="001452E1">
      <w:pPr>
        <w:pStyle w:val="ListParagraph"/>
        <w:rPr>
          <w:rFonts w:ascii="Times New Roman" w:hAnsi="Times New Roman" w:cs="Times New Roman"/>
          <w:sz w:val="28"/>
          <w:szCs w:val="28"/>
        </w:rPr>
      </w:pPr>
    </w:p>
    <w:p w:rsidR="005A7EB7" w:rsidRDefault="007D73A4" w:rsidP="005A7EB7">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Originating motion:</w:t>
      </w:r>
      <w:r w:rsidR="00876435">
        <w:rPr>
          <w:rFonts w:ascii="Times New Roman" w:hAnsi="Times New Roman" w:cs="Times New Roman"/>
          <w:b/>
          <w:sz w:val="28"/>
          <w:szCs w:val="28"/>
        </w:rPr>
        <w:t xml:space="preserve"> </w:t>
      </w:r>
      <w:r w:rsidR="004632B4">
        <w:rPr>
          <w:rFonts w:ascii="Times New Roman" w:hAnsi="Times New Roman" w:cs="Times New Roman"/>
          <w:sz w:val="28"/>
          <w:szCs w:val="28"/>
        </w:rPr>
        <w:t>This is used only when provided</w:t>
      </w:r>
      <w:r w:rsidR="006F5155">
        <w:rPr>
          <w:rFonts w:ascii="Times New Roman" w:hAnsi="Times New Roman" w:cs="Times New Roman"/>
          <w:sz w:val="28"/>
          <w:szCs w:val="28"/>
        </w:rPr>
        <w:t xml:space="preserve"> for by a Statute or a Rules of C</w:t>
      </w:r>
      <w:r w:rsidR="004632B4">
        <w:rPr>
          <w:rFonts w:ascii="Times New Roman" w:hAnsi="Times New Roman" w:cs="Times New Roman"/>
          <w:sz w:val="28"/>
          <w:szCs w:val="28"/>
        </w:rPr>
        <w:t>ourt.</w:t>
      </w:r>
    </w:p>
    <w:p w:rsidR="004632B4" w:rsidRDefault="006F5155" w:rsidP="004632B4">
      <w:pPr>
        <w:pStyle w:val="ListParagraph"/>
        <w:rPr>
          <w:rFonts w:ascii="Times New Roman" w:hAnsi="Times New Roman" w:cs="Times New Roman"/>
          <w:sz w:val="28"/>
          <w:szCs w:val="28"/>
        </w:rPr>
      </w:pPr>
      <w:r>
        <w:rPr>
          <w:rFonts w:ascii="Times New Roman" w:hAnsi="Times New Roman" w:cs="Times New Roman"/>
          <w:sz w:val="28"/>
          <w:szCs w:val="28"/>
        </w:rPr>
        <w:t>For Example: Prerogative writ of an order for Mandamus, Prohibition or C</w:t>
      </w:r>
      <w:r w:rsidR="004632B4">
        <w:rPr>
          <w:rFonts w:ascii="Times New Roman" w:hAnsi="Times New Roman" w:cs="Times New Roman"/>
          <w:sz w:val="28"/>
          <w:szCs w:val="28"/>
        </w:rPr>
        <w:t>ertiorari, and also for the enforcement of Fundamental Human Rights.</w:t>
      </w:r>
    </w:p>
    <w:p w:rsidR="00C16B09" w:rsidRPr="006F5155" w:rsidRDefault="004632B4" w:rsidP="006F5155">
      <w:pPr>
        <w:pStyle w:val="ListParagraph"/>
        <w:rPr>
          <w:rFonts w:ascii="Times New Roman" w:hAnsi="Times New Roman" w:cs="Times New Roman"/>
          <w:sz w:val="28"/>
          <w:szCs w:val="28"/>
        </w:rPr>
      </w:pPr>
      <w:r>
        <w:rPr>
          <w:rFonts w:ascii="Times New Roman" w:hAnsi="Times New Roman" w:cs="Times New Roman"/>
          <w:sz w:val="28"/>
          <w:szCs w:val="28"/>
        </w:rPr>
        <w:t xml:space="preserve">When commencing an action with Originating Motion, the Counsel has to file it with the following: Statement setting out the name and description </w:t>
      </w:r>
      <w:r w:rsidR="00224969">
        <w:rPr>
          <w:rFonts w:ascii="Times New Roman" w:hAnsi="Times New Roman" w:cs="Times New Roman"/>
          <w:sz w:val="28"/>
          <w:szCs w:val="28"/>
        </w:rPr>
        <w:t>of the applicant, the relief sought and the grounds upon which the reliefs are sought, an Affidavit setting out the facts upon which the application is made, written address in support.</w:t>
      </w:r>
    </w:p>
    <w:p w:rsidR="00C16B09" w:rsidRDefault="00C16B09" w:rsidP="004632B4">
      <w:pPr>
        <w:pStyle w:val="ListParagraph"/>
        <w:rPr>
          <w:rFonts w:ascii="Times New Roman" w:hAnsi="Times New Roman" w:cs="Times New Roman"/>
          <w:sz w:val="28"/>
          <w:szCs w:val="28"/>
        </w:rPr>
      </w:pPr>
    </w:p>
    <w:p w:rsidR="004632B4" w:rsidRPr="00C16B09" w:rsidRDefault="00C16B09" w:rsidP="00C16B09">
      <w:pPr>
        <w:pStyle w:val="ListParagraph"/>
        <w:numPr>
          <w:ilvl w:val="0"/>
          <w:numId w:val="2"/>
        </w:numPr>
        <w:rPr>
          <w:rFonts w:ascii="Times New Roman" w:hAnsi="Times New Roman" w:cs="Times New Roman"/>
          <w:b/>
          <w:sz w:val="28"/>
          <w:szCs w:val="28"/>
        </w:rPr>
      </w:pPr>
      <w:r w:rsidRPr="00C16B09">
        <w:rPr>
          <w:rFonts w:ascii="Times New Roman" w:hAnsi="Times New Roman" w:cs="Times New Roman"/>
          <w:b/>
          <w:sz w:val="28"/>
          <w:szCs w:val="28"/>
        </w:rPr>
        <w:t>Petition</w:t>
      </w:r>
      <w:r>
        <w:rPr>
          <w:rFonts w:ascii="Times New Roman" w:hAnsi="Times New Roman" w:cs="Times New Roman"/>
          <w:b/>
          <w:sz w:val="28"/>
          <w:szCs w:val="28"/>
        </w:rPr>
        <w:t>:</w:t>
      </w:r>
      <w:r w:rsidR="009F22BC">
        <w:rPr>
          <w:rFonts w:ascii="Times New Roman" w:hAnsi="Times New Roman" w:cs="Times New Roman"/>
          <w:b/>
          <w:sz w:val="28"/>
          <w:szCs w:val="28"/>
        </w:rPr>
        <w:t xml:space="preserve"> </w:t>
      </w:r>
      <w:r w:rsidR="00B81795">
        <w:rPr>
          <w:rFonts w:ascii="Times New Roman" w:hAnsi="Times New Roman" w:cs="Times New Roman"/>
          <w:sz w:val="28"/>
          <w:szCs w:val="28"/>
        </w:rPr>
        <w:t xml:space="preserve">This is used where the law governing the wrong says so. For example; Pursuant to </w:t>
      </w:r>
      <w:r w:rsidR="00B81795" w:rsidRPr="00B81795">
        <w:rPr>
          <w:rFonts w:ascii="Times New Roman" w:hAnsi="Times New Roman" w:cs="Times New Roman"/>
          <w:b/>
          <w:sz w:val="28"/>
          <w:szCs w:val="28"/>
        </w:rPr>
        <w:t>section 133 of the Electoral Act</w:t>
      </w:r>
      <w:r w:rsidR="00B81795">
        <w:rPr>
          <w:rFonts w:ascii="Times New Roman" w:hAnsi="Times New Roman" w:cs="Times New Roman"/>
          <w:sz w:val="28"/>
          <w:szCs w:val="28"/>
        </w:rPr>
        <w:t>, Electoral matters are to be commenced by Petition. Matrimonial causes are commenced by Petition as well as some matters under the Companies and Allied Matters Act</w:t>
      </w:r>
      <w:r w:rsidR="00AB13D4">
        <w:rPr>
          <w:rFonts w:ascii="Times New Roman" w:hAnsi="Times New Roman" w:cs="Times New Roman"/>
          <w:sz w:val="28"/>
          <w:szCs w:val="28"/>
        </w:rPr>
        <w:t>. It is pertinent herein to note that the Party who commence such matter is called “Petitioner” while the Party whom the matter is against is called the “Respondent”.</w:t>
      </w:r>
    </w:p>
    <w:p w:rsidR="003356F8" w:rsidRPr="003356F8" w:rsidRDefault="003356F8" w:rsidP="003356F8">
      <w:pPr>
        <w:pStyle w:val="ListParagraph"/>
        <w:rPr>
          <w:rFonts w:ascii="Times New Roman" w:hAnsi="Times New Roman" w:cs="Times New Roman"/>
          <w:sz w:val="28"/>
          <w:szCs w:val="28"/>
        </w:rPr>
      </w:pPr>
    </w:p>
    <w:p w:rsidR="00C239BF" w:rsidRDefault="00C239BF" w:rsidP="00C239BF">
      <w:pPr>
        <w:pStyle w:val="ListParagraph"/>
        <w:rPr>
          <w:rFonts w:ascii="Times New Roman" w:hAnsi="Times New Roman" w:cs="Times New Roman"/>
          <w:sz w:val="28"/>
          <w:szCs w:val="28"/>
        </w:rPr>
      </w:pPr>
    </w:p>
    <w:p w:rsidR="00C239BF" w:rsidRPr="00C239BF" w:rsidRDefault="00C239BF" w:rsidP="00C239BF">
      <w:pPr>
        <w:rPr>
          <w:rFonts w:ascii="Times New Roman" w:hAnsi="Times New Roman" w:cs="Times New Roman"/>
          <w:sz w:val="28"/>
          <w:szCs w:val="28"/>
        </w:rPr>
      </w:pPr>
    </w:p>
    <w:p w:rsidR="00EF27D8" w:rsidRDefault="00EF27D8" w:rsidP="00EF27D8">
      <w:pPr>
        <w:rPr>
          <w:rFonts w:ascii="Times New Roman" w:hAnsi="Times New Roman" w:cs="Times New Roman"/>
          <w:sz w:val="28"/>
          <w:szCs w:val="28"/>
        </w:rPr>
      </w:pPr>
    </w:p>
    <w:p w:rsidR="00264749" w:rsidRPr="00C239BF" w:rsidRDefault="00264749" w:rsidP="00C239BF">
      <w:pPr>
        <w:pStyle w:val="ListParagraph"/>
        <w:rPr>
          <w:rFonts w:ascii="Times New Roman" w:hAnsi="Times New Roman" w:cs="Times New Roman"/>
          <w:b/>
          <w:sz w:val="28"/>
          <w:szCs w:val="28"/>
        </w:rPr>
      </w:pPr>
    </w:p>
    <w:p w:rsidR="00EF27D8" w:rsidRPr="00EF27D8" w:rsidRDefault="00EF27D8" w:rsidP="00EF27D8">
      <w:pPr>
        <w:rPr>
          <w:rFonts w:ascii="Times New Roman" w:hAnsi="Times New Roman" w:cs="Times New Roman"/>
          <w:sz w:val="28"/>
          <w:szCs w:val="28"/>
        </w:rPr>
      </w:pPr>
      <w:r w:rsidRPr="00EF27D8">
        <w:rPr>
          <w:rFonts w:ascii="Times New Roman" w:hAnsi="Times New Roman" w:cs="Times New Roman"/>
          <w:sz w:val="28"/>
          <w:szCs w:val="28"/>
        </w:rPr>
        <w:t xml:space="preserve"> </w:t>
      </w:r>
    </w:p>
    <w:p w:rsidR="00637BE4" w:rsidRPr="00701217" w:rsidRDefault="00637BE4" w:rsidP="00637BE4">
      <w:pPr>
        <w:rPr>
          <w:rFonts w:ascii="Times New Roman" w:hAnsi="Times New Roman" w:cs="Times New Roman"/>
          <w:sz w:val="28"/>
          <w:szCs w:val="28"/>
        </w:rPr>
      </w:pPr>
    </w:p>
    <w:sectPr w:rsidR="00637BE4" w:rsidRPr="00701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003F4"/>
    <w:multiLevelType w:val="hybridMultilevel"/>
    <w:tmpl w:val="FBB0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30854"/>
    <w:multiLevelType w:val="hybridMultilevel"/>
    <w:tmpl w:val="683EA2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632ED"/>
    <w:multiLevelType w:val="hybridMultilevel"/>
    <w:tmpl w:val="95D8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E4"/>
    <w:rsid w:val="000E31BC"/>
    <w:rsid w:val="0011207E"/>
    <w:rsid w:val="001452E1"/>
    <w:rsid w:val="00224969"/>
    <w:rsid w:val="00230A1A"/>
    <w:rsid w:val="00264749"/>
    <w:rsid w:val="002C4BB7"/>
    <w:rsid w:val="002E4AC5"/>
    <w:rsid w:val="00315E9C"/>
    <w:rsid w:val="003356F8"/>
    <w:rsid w:val="004632B4"/>
    <w:rsid w:val="004E5766"/>
    <w:rsid w:val="005A7EB7"/>
    <w:rsid w:val="005C199D"/>
    <w:rsid w:val="005E57FA"/>
    <w:rsid w:val="00637BE4"/>
    <w:rsid w:val="006C6215"/>
    <w:rsid w:val="006F5155"/>
    <w:rsid w:val="00701217"/>
    <w:rsid w:val="00747138"/>
    <w:rsid w:val="007D73A4"/>
    <w:rsid w:val="00876435"/>
    <w:rsid w:val="00940CF7"/>
    <w:rsid w:val="0098552A"/>
    <w:rsid w:val="009C72E6"/>
    <w:rsid w:val="009F22BC"/>
    <w:rsid w:val="00AB13D4"/>
    <w:rsid w:val="00B81795"/>
    <w:rsid w:val="00C16B09"/>
    <w:rsid w:val="00C239BF"/>
    <w:rsid w:val="00D24A65"/>
    <w:rsid w:val="00D30337"/>
    <w:rsid w:val="00E12E93"/>
    <w:rsid w:val="00E41BBC"/>
    <w:rsid w:val="00E532C1"/>
    <w:rsid w:val="00E93E8A"/>
    <w:rsid w:val="00EF16D3"/>
    <w:rsid w:val="00EF27D8"/>
    <w:rsid w:val="00F7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5AEA6-7A69-4EC5-A415-C3C91679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5</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 eboigbe</dc:creator>
  <cp:keywords/>
  <dc:description/>
  <cp:lastModifiedBy>david n. eboigbe</cp:lastModifiedBy>
  <cp:revision>53</cp:revision>
  <dcterms:created xsi:type="dcterms:W3CDTF">2020-04-08T14:51:00Z</dcterms:created>
  <dcterms:modified xsi:type="dcterms:W3CDTF">2020-04-15T15:48:00Z</dcterms:modified>
</cp:coreProperties>
</file>