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pict>
          <v:shape id="C246BAF6-37BA-2D31-2C20C3BCB013" o:spid="_x0000_s1026" o:spt="32" type="#_x0000_t32" style="position:absolute;left:0pt;flip:y;margin-left:416.55pt;margin-top:254.65pt;height:1pt;width:1pt;mso-position-horizontal-relative:page;mso-position-vertical-relative:page;z-index:25167155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AEBE777D-6939-7D05-3419219F6173" o:spid="_x0000_s1027" o:spt="32" type="#_x0000_t32" style="position:absolute;left:0pt;margin-left:321.35pt;margin-top:286.45pt;height:1.3pt;width:4.85pt;mso-position-horizontal-relative:page;mso-position-vertical-relative:page;z-index:25166950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4FD2BB5E-D2BC-BB71-B175F448D2E3" o:spid="_x0000_s1028" o:spt="32" type="#_x0000_t32" style="position:absolute;left:0pt;flip:x y;margin-left:559.45pt;margin-top:264.55pt;height:1pt;width:1.7pt;mso-position-horizontal-relative:page;mso-position-vertical-relative:page;z-index:25166745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F9A403D0-0E6B-17F4-4CF0E64F73B3" o:spid="_x0000_s1029" o:spt="32" type="#_x0000_t32" style="position:absolute;left:0pt;margin-left:452pt;margin-top:261.15pt;height:3.25pt;width:1pt;mso-position-horizontal-relative:page;mso-position-vertical-relative:page;z-index:25166540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D9D254AB-BB35-B97B-EADEDDC5C934" o:spid="_x0000_s1030" o:spt="32" type="#_x0000_t32" style="position:absolute;left:0pt;flip:y;margin-left:319.65pt;margin-top:250.55pt;height:2pt;width:2.8pt;mso-position-horizontal-relative:page;mso-position-vertical-relative:page;z-index:25170227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8505CB1E-7E96-F3FD-3E810409DD74" o:spid="_x0000_s1031" o:spt="32" type="#_x0000_t32" style="position:absolute;left:0pt;flip:x y;margin-left:4.75pt;margin-top:253.3pt;height:4.55pt;width:15.55pt;mso-position-horizontal-relative:page;mso-position-vertical-relative:page;z-index:25166336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20BBA611-B477-BC7B-E6856439516E" o:spid="_x0000_s1032" o:spt="32" type="#_x0000_t32" style="position:absolute;left:0pt;flip:x;margin-left:317.25pt;margin-top:547.2pt;height:4pt;width:4.95pt;mso-position-horizontal-relative:page;mso-position-vertical-relative:page;z-index:25169612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3C3366CB-FC24-2624-8F2673848C1A" o:spid="_x0000_s1033" o:spt="32" type="#_x0000_t32" style="position:absolute;left:0pt;margin-left:44.75pt;margin-top:665.9pt;height:9pt;width:8.3pt;mso-position-horizontal-relative:page;mso-position-vertical-relative:page;z-index:25171456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ADB9434B-6703-B0D4-732067AB7CC4" o:spid="_x0000_s1034" o:spt="32" type="#_x0000_t32" style="position:absolute;left:0pt;margin-left:58.85pt;margin-top:661.25pt;height:2.9pt;width:7.2pt;mso-position-horizontal-relative:page;mso-position-vertical-relative:page;z-index:25171660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FE80305D-0CDC-3484-E1C31012D1C2" o:spid="_x0000_s1035" o:spt="32" type="#_x0000_t32" style="position:absolute;left:0pt;flip:x y;margin-left:106.5pt;margin-top:667.35pt;height:1.95pt;width:2.95pt;mso-position-horizontal-relative:page;mso-position-vertical-relative:page;z-index:2517125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C76DC8F8-4C2B-3EC3-AD51A4142AB8" o:spid="_x0000_s1036" o:spt="32" type="#_x0000_t32" style="position:absolute;left:0pt;margin-left:604.05pt;margin-top:624.95pt;height:0pt;width:1.15pt;mso-position-horizontal-relative:page;mso-position-vertical-relative:page;z-index:2517104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2B982311-0390-1B4D-5107FD62F806" o:spid="_x0000_s1037" o:spt="32" type="#_x0000_t32" style="position:absolute;left:0pt;flip:x;margin-left:576.3pt;margin-top:624.9pt;height:1.35pt;width:11pt;mso-position-horizontal-relative:page;mso-position-vertical-relative:page;z-index:25170841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5C38E7F7-BED8-7A96-AD093C4329BC" o:spid="_x0000_s1038" o:spt="32" type="#_x0000_t32" style="position:absolute;left:0pt;flip:y;margin-left:569.85pt;margin-top:623.4pt;height:4.05pt;width:11pt;mso-position-horizontal-relative:page;mso-position-vertical-relative:page;z-index:25170636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E67E710A-F199-A2B4-B60794CF3F24" o:spid="_x0000_s1039" o:spt="32" type="#_x0000_t32" style="position:absolute;left:0pt;flip:y;margin-left:216.25pt;margin-top:565.45pt;height:4.9pt;width:8.35pt;mso-position-horizontal-relative:page;mso-position-vertical-relative:page;z-index:2517002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6E4E8625-5E1D-56FD-DE66A2452DAA" o:spid="_x0000_s1040" o:spt="32" type="#_x0000_t32" style="position:absolute;left:0pt;flip:y;margin-left:113.25pt;margin-top:570.2pt;height:2pt;width:1.55pt;mso-position-horizontal-relative:page;mso-position-vertical-relative:page;z-index:25169817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4B4741F5-9685-CE4C-703F65849098" o:spid="_x0000_s1041" o:spt="32" type="#_x0000_t32" style="position:absolute;left:0pt;flip:y;margin-left:513.15pt;margin-top:494.15pt;height:1.55pt;width:9.5pt;mso-position-horizontal-relative:page;mso-position-vertical-relative:page;z-index:25169408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7618A562-3BDF-225E-9614C0FEAEAE" o:spid="_x0000_s1042" o:spt="32" type="#_x0000_t32" style="position:absolute;left:0pt;margin-left:366.65pt;margin-top:582pt;height:4.55pt;width:2.95pt;mso-position-horizontal-relative:page;mso-position-vertical-relative:page;z-index:25168998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19298728-7B64-6B0F-68FF3CF6E81B" o:spid="_x0000_s1043" o:spt="32" type="#_x0000_t32" style="position:absolute;left:0pt;flip:x y;margin-left:556.65pt;margin-top:537.8pt;height:1pt;width:1.2pt;mso-position-horizontal-relative:page;mso-position-vertical-relative:page;z-index:25170432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13C84E3B-0614-43E0-83A99396A2D9" o:spid="_x0000_s1044" o:spt="32" type="#_x0000_t32" style="position:absolute;left:0pt;margin-left:607.85pt;margin-top:381.15pt;height:10.8pt;width:4.8pt;mso-position-horizontal-relative:page;mso-position-vertical-relative:page;z-index:25168793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AFD424CA-D871-84B2-0388FF5D5DF2" o:spid="_x0000_s1045" o:spt="32" type="#_x0000_t32" style="position:absolute;left:0pt;flip:x;margin-left:468.55pt;margin-top:363.95pt;height:9.1pt;width:12.35pt;mso-position-horizontal-relative:page;mso-position-vertical-relative:page;z-index:2516858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6B72573C-D3B7-58AE-BD609C8039C7" o:spid="_x0000_s1046" o:spt="32" type="#_x0000_t32" style="position:absolute;left:0pt;flip:x;margin-left:31.05pt;margin-top:388.9pt;height:3.75pt;width:26.85pt;mso-position-horizontal-relative:page;mso-position-vertical-relative:page;z-index:2516838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7522DF48-59D5-67A5-B56A1AFDC44B" o:spid="_x0000_s1047" o:spt="32" type="#_x0000_t32" style="position:absolute;left:0pt;margin-left:433.5pt;margin-top:6.1pt;height:3.65pt;width:13.65pt;z-index:25168179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9DAFD54F-4F21-A8AB-CDDB919164FF" o:spid="_x0000_s1048" o:spt="32" type="#_x0000_t32" style="position:absolute;left:0pt;flip:y;margin-left:583.15pt;margin-top:258.8pt;height:5pt;width:8.2pt;mso-position-horizontal-relative:page;mso-position-vertical-relative:page;z-index:25167974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D287BD7E-691E-BD2B-AC2EECFEBD0C" o:spid="_x0000_s1049" o:spt="32" type="#_x0000_t32" style="position:absolute;left:0pt;margin-left:192.75pt;margin-top:7.6pt;height:2.35pt;width:12.75pt;z-index:25167769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01031ADE-EAAC-26F5-4D8C60B1DFEC" o:spid="_x0000_s1050" o:spt="32" type="#_x0000_t32" style="position:absolute;left:0pt;flip:x;margin-left:14.55pt;margin-top:270.65pt;height:14.95pt;width:8.5pt;mso-position-horizontal-relative:page;mso-position-vertical-relative:page;z-index:25167360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  <w:lang w:val="en-US"/>
        </w:rPr>
        <w:t>NAME: EKAM KARO CHRI</w:t>
      </w:r>
      <w:r>
        <w:rPr>
          <w:rFonts w:ascii="Times New Roman" w:hAnsi="Times New Roman" w:cs="Times New Roman"/>
          <w:b/>
        </w:rPr>
        <w:pict>
          <v:shape id="9222D9AA-9E06-42D2-649A2D038519" o:spid="_x0000_s1051" o:spt="32" type="#_x0000_t32" style="position:absolute;left:0pt;margin-left:352.5pt;margin-top:8.4pt;height:0pt;width:8.4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  <w:lang w:val="en-US"/>
        </w:rPr>
        <w:t>S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MATRIC NO:17/MHS07/008</w:t>
      </w:r>
      <w:bookmarkStart w:id="0" w:name="_GoBack"/>
      <w:bookmarkEnd w:id="0"/>
    </w:p>
    <w:p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PHA 308</w:t>
      </w:r>
    </w:p>
    <w:p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NEUROPHARMACOLOGY</w:t>
      </w:r>
    </w:p>
    <w:p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Mock test</w:t>
      </w:r>
    </w:p>
    <w:p>
      <w:pPr>
        <w:pStyle w:val="28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Fill in the gaps with the most appropriate answer(s)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two barrier systems in the brain are </w:t>
      </w:r>
      <w:r>
        <w:rPr>
          <w:rFonts w:ascii="Times New Roman" w:hAnsi="Times New Roman" w:cs="Times New Roman"/>
          <w:u w:val="single"/>
        </w:rPr>
        <w:t xml:space="preserve"> blood brain barrier system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u w:val="single"/>
        </w:rPr>
        <w:t>blood CSF barrier system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Neurotransmission processes are:- </w:t>
      </w:r>
      <w:r>
        <w:rPr>
          <w:rFonts w:ascii="Times New Roman" w:hAnsi="Times New Roman" w:cs="Times New Roman"/>
          <w:u w:val="single"/>
        </w:rPr>
        <w:t>Neurotransmitters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Synthesis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Neurotransmitters Packaging, Neurotransmitter Release,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Neurotransmitters Bindin</w:t>
      </w:r>
      <w:r>
        <w:rPr>
          <w:rFonts w:ascii="Times New Roman" w:hAnsi="Times New Roman" w:cs="Times New Roman"/>
        </w:rPr>
        <w:t xml:space="preserve">g 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Stopping Chemical signal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>Glutamate NMDA</w:t>
      </w:r>
      <w:r>
        <w:rPr>
          <w:rFonts w:ascii="Times New Roman" w:hAnsi="Times New Roman" w:cs="Times New Roman"/>
        </w:rPr>
        <w:t xml:space="preserve">  and</w:t>
      </w:r>
      <w:r>
        <w:rPr>
          <w:rFonts w:ascii="Times New Roman" w:hAnsi="Times New Roman" w:cs="Times New Roman"/>
          <w:u w:val="single"/>
        </w:rPr>
        <w:t xml:space="preserve">  GABA receptor</w:t>
      </w:r>
      <w:r>
        <w:rPr>
          <w:rFonts w:ascii="Times New Roman" w:hAnsi="Times New Roman" w:cs="Times New Roman"/>
        </w:rPr>
        <w:t xml:space="preserve">   are examples of ionotropic receptors.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inhibitory neurotransmitters  </w:t>
      </w:r>
      <w:r>
        <w:rPr>
          <w:rFonts w:ascii="Times New Roman" w:hAnsi="Times New Roman" w:cs="Times New Roman"/>
          <w:u w:val="single"/>
        </w:rPr>
        <w:t>Glycine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u w:val="single"/>
        </w:rPr>
        <w:t>GABA</w:t>
      </w:r>
      <w:r>
        <w:rPr>
          <w:rFonts w:ascii="Times New Roman" w:hAnsi="Times New Roman" w:cs="Times New Roman"/>
        </w:rPr>
        <w:t xml:space="preserve">  opens    </w:t>
      </w:r>
      <w:r>
        <w:rPr>
          <w:rFonts w:ascii="Times New Roman" w:hAnsi="Times New Roman" w:cs="Times New Roman"/>
          <w:u w:val="single"/>
        </w:rPr>
        <w:t>Cl`</w:t>
      </w:r>
      <w:r>
        <w:rPr>
          <w:rFonts w:ascii="Times New Roman" w:hAnsi="Times New Roman" w:cs="Times New Roman"/>
        </w:rPr>
        <w:t xml:space="preserve"> channels, resulting in   </w:t>
      </w:r>
      <w:r>
        <w:rPr>
          <w:rFonts w:ascii="Times New Roman" w:hAnsi="Times New Roman" w:cs="Times New Roman"/>
          <w:u w:val="single"/>
        </w:rPr>
        <w:t>post synaptic target hyperpolarization.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neurotransmitter which causes psychosis in excess and Alzheimer’s disease when lacking is </w:t>
      </w:r>
      <w:r>
        <w:rPr>
          <w:rFonts w:ascii="Times New Roman" w:hAnsi="Times New Roman" w:cs="Times New Roman"/>
          <w:u w:val="single"/>
        </w:rPr>
        <w:t>acetylcholine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neurotransmitter which causes psychosis in excess and Parkinson’s disease when lacking is </w:t>
      </w:r>
      <w:r>
        <w:rPr>
          <w:rFonts w:ascii="Times New Roman" w:hAnsi="Times New Roman" w:cs="Times New Roman"/>
          <w:u w:val="single"/>
        </w:rPr>
        <w:t>Dopamine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Tyrosine-derived neurotransmitters are </w:t>
      </w:r>
      <w:r>
        <w:rPr>
          <w:rFonts w:ascii="Times New Roman" w:hAnsi="Times New Roman" w:cs="Times New Roman"/>
          <w:u w:val="single"/>
        </w:rPr>
        <w:t>Dopamine</w:t>
      </w:r>
      <w:r>
        <w:rPr>
          <w:rFonts w:ascii="Times New Roman" w:hAnsi="Times New Roman" w:cs="Times New Roman"/>
        </w:rPr>
        <w:t xml:space="preserve">  and. </w:t>
      </w:r>
      <w:r>
        <w:rPr>
          <w:rFonts w:ascii="Times New Roman" w:hAnsi="Times New Roman" w:cs="Times New Roman"/>
          <w:u w:val="single"/>
        </w:rPr>
        <w:t>Norepinephrine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 disease characterized by an imbalance between dopaminergic and cholinergic system in the brain is  </w:t>
      </w:r>
      <w:r>
        <w:rPr>
          <w:rFonts w:ascii="Times New Roman" w:hAnsi="Times New Roman" w:cs="Times New Roman"/>
          <w:u w:val="single"/>
        </w:rPr>
        <w:t>Parkinson's disease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Sedative</w:t>
      </w:r>
      <w:r>
        <w:rPr>
          <w:rFonts w:ascii="Times New Roman" w:hAnsi="Times New Roman" w:cs="Times New Roman"/>
        </w:rPr>
        <w:t xml:space="preserve">    is a drug that reduces excitement and produces calming effect without inducing sleep, while. </w:t>
      </w:r>
      <w:r>
        <w:rPr>
          <w:rFonts w:ascii="Times New Roman" w:hAnsi="Times New Roman" w:cs="Times New Roman"/>
          <w:u w:val="single"/>
        </w:rPr>
        <w:t>Hypnotics</w:t>
      </w:r>
      <w:r>
        <w:rPr>
          <w:rFonts w:ascii="Times New Roman" w:hAnsi="Times New Roman" w:cs="Times New Roman"/>
        </w:rPr>
        <w:t xml:space="preserve">   is a drug that induces and/or maintains sleep.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Pharmacological actions of benzodiazepines include </w:t>
      </w:r>
      <w:r>
        <w:rPr>
          <w:rFonts w:ascii="Times New Roman" w:hAnsi="Times New Roman" w:cs="Times New Roman"/>
          <w:u w:val="single"/>
        </w:rPr>
        <w:t>anticonvulsant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skeletal muscle relaxant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amnesic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sedative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hypnotic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u w:val="single"/>
        </w:rPr>
        <w:t xml:space="preserve"> (anti anxiety) anxiolytic.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monoamine theory of depression states that…</w:t>
      </w:r>
      <w:r>
        <w:rPr>
          <w:rFonts w:ascii="Palatino Linotype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292934"/>
          <w:spacing w:val="0"/>
          <w:w w:val="100"/>
          <w:position w:val="0"/>
          <w:sz w:val="24"/>
          <w:highlight w:val="none"/>
          <w:shd w:val="clear" w:color="000000" w:fill="auto"/>
          <w:vertAlign w:val="baseline"/>
        </w:rPr>
        <w:t>depression is caused by a functional deficit of the monoamine transmitters, noradrenaline and 5-hydroxytryptamine (5-HT) at certain sites in the brain</w:t>
      </w:r>
      <w:r>
        <w:rPr>
          <w:rFonts w:ascii="Times New Roman" w:hAnsi="Times New Roman" w:cs="Times New Roman"/>
          <w:sz w:val="24"/>
        </w:rPr>
        <w:t>…</w:t>
      </w:r>
    </w:p>
    <w:p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Indicate “TRUE/T” or “FALSE/F” in front of each statement contained in letter A-D  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Centrally acting drugs act via the following broad mechanisms</w:t>
      </w:r>
    </w:p>
    <w:p>
      <w:pPr>
        <w:pStyle w:val="28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Transmitter-specific action.       (T)</w:t>
      </w:r>
    </w:p>
    <w:p>
      <w:pPr>
        <w:pStyle w:val="28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Neuron-specific action.               (T)</w:t>
      </w:r>
    </w:p>
    <w:p>
      <w:pPr>
        <w:pStyle w:val="28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Signal-specific action.                  (T)</w:t>
      </w:r>
    </w:p>
    <w:p>
      <w:pPr>
        <w:pStyle w:val="28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above.                            (T)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targets is/are of significance in the treatment of depression</w:t>
      </w:r>
    </w:p>
    <w:p>
      <w:pPr>
        <w:pStyle w:val="28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Selective serotonin reuptake inhibitors.    (T)</w:t>
      </w:r>
    </w:p>
    <w:p>
      <w:pPr>
        <w:pStyle w:val="28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Serotonin-noradrenaline reuptake inhibitors.    (T)</w:t>
      </w:r>
    </w:p>
    <w:p>
      <w:pPr>
        <w:pStyle w:val="28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NMDA receptor antagonists.     (F)</w:t>
      </w:r>
    </w:p>
    <w:p>
      <w:pPr>
        <w:pStyle w:val="28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 channel blockers.     (F)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the following antidepressants with their respective groups</w:t>
      </w:r>
    </w:p>
    <w:p>
      <w:pPr>
        <w:pStyle w:val="28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Tricyclic antidepressant e.g. Amitriptyline.     (T)</w:t>
      </w:r>
    </w:p>
    <w:p>
      <w:pPr>
        <w:pStyle w:val="28"/>
        <w:numPr>
          <w:ilvl w:val="0"/>
          <w:numId w:val="4"/>
        </w:numPr>
        <w:spacing w:line="480" w:lineRule="auto"/>
        <w:rPr>
          <w:lang w:val="en-US"/>
        </w:rPr>
      </w:pPr>
      <w:r>
        <w:rPr>
          <w:rFonts w:ascii="Times New Roman" w:hAnsi="Times New Roman" w:cs="Times New Roman"/>
        </w:rPr>
        <w:t xml:space="preserve">Irreversible monoamine oxidase inhibitor e.g. </w:t>
      </w:r>
      <w:r>
        <w:rPr>
          <w:rFonts w:ascii="Times New Roman" w:hAnsi="Times New Roman" w:cs="Times New Roman"/>
          <w:bCs/>
          <w:lang w:val="en-US"/>
        </w:rPr>
        <w:t>mianserin</w:t>
      </w:r>
      <w:r>
        <w:rPr>
          <w:bCs/>
          <w:lang w:val="en-US"/>
        </w:rPr>
        <w:t xml:space="preserve">   (F)</w:t>
      </w:r>
    </w:p>
    <w:p>
      <w:pPr>
        <w:pStyle w:val="28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Monoamine receptor antagonist e.g. Phenelzine.  (T)</w:t>
      </w:r>
    </w:p>
    <w:p>
      <w:pPr>
        <w:pStyle w:val="28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Tricyclic antidepressant e.g. Imipramine.      (T)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differences between brain and peripheral capillary bed includes:</w:t>
      </w:r>
    </w:p>
    <w:p>
      <w:pPr>
        <w:pStyle w:val="28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tight junctions while peripheral capillaries have fenestrated junctions.           (T)</w:t>
      </w:r>
    </w:p>
    <w:p>
      <w:pPr>
        <w:pStyle w:val="28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fenestrated  junctions while peripheral capillaries have tight junctions.              (F)</w:t>
      </w:r>
    </w:p>
    <w:p>
      <w:pPr>
        <w:pStyle w:val="28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fewer mitochondria than peripheral capillaries.   (F)</w:t>
      </w:r>
    </w:p>
    <w:p>
      <w:pPr>
        <w:pStyle w:val="28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more mitochondria than peripheral capillaries.   (T).</w:t>
      </w:r>
    </w:p>
    <w:p>
      <w:pPr>
        <w:pStyle w:val="28"/>
        <w:spacing w:line="480" w:lineRule="auto"/>
        <w:rPr>
          <w:rFonts w:ascii="Times New Roman" w:hAnsi="Times New Roman" w:cs="Times New Roman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roman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roman"/>
    <w:pitch w:val="default"/>
    <w:sig w:usb0="00000000" w:usb1="00000000" w:usb2="00000010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00000000" w:csb1="00000000"/>
  </w:font>
  <w:font w:name="Helvetica Neue"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Palatino Linotype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74EA7"/>
    <w:multiLevelType w:val="multilevel"/>
    <w:tmpl w:val="5E974EA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4EB2"/>
    <w:multiLevelType w:val="multilevel"/>
    <w:tmpl w:val="5E974EB2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974EBD"/>
    <w:multiLevelType w:val="multilevel"/>
    <w:tmpl w:val="5E974EBD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974EC8"/>
    <w:multiLevelType w:val="multilevel"/>
    <w:tmpl w:val="5E974EC8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974ED3"/>
    <w:multiLevelType w:val="multilevel"/>
    <w:tmpl w:val="5E974ED3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C246BAF6-37BA-2D31-2C20C3BCB013"/>
        <o:r id="V:Rule2" type="connector" idref="#AEBE777D-6939-7D05-3419219F6173"/>
        <o:r id="V:Rule3" type="connector" idref="#4FD2BB5E-D2BC-BB71-B175F448D2E3"/>
        <o:r id="V:Rule4" type="connector" idref="#F9A403D0-0E6B-17F4-4CF0E64F73B3"/>
        <o:r id="V:Rule5" type="connector" idref="#D9D254AB-BB35-B97B-EADEDDC5C934"/>
        <o:r id="V:Rule6" type="connector" idref="#8505CB1E-7E96-F3FD-3E810409DD74"/>
        <o:r id="V:Rule7" type="connector" idref="#20BBA611-B477-BC7B-E6856439516E"/>
        <o:r id="V:Rule8" type="connector" idref="#3C3366CB-FC24-2624-8F2673848C1A"/>
        <o:r id="V:Rule9" type="connector" idref="#ADB9434B-6703-B0D4-732067AB7CC4"/>
        <o:r id="V:Rule10" type="connector" idref="#FE80305D-0CDC-3484-E1C31012D1C2"/>
        <o:r id="V:Rule11" type="connector" idref="#C76DC8F8-4C2B-3EC3-AD51A4142AB8"/>
        <o:r id="V:Rule12" type="connector" idref="#2B982311-0390-1B4D-5107FD62F806"/>
        <o:r id="V:Rule13" type="connector" idref="#5C38E7F7-BED8-7A96-AD093C4329BC"/>
        <o:r id="V:Rule14" type="connector" idref="#E67E710A-F199-A2B4-B60794CF3F24"/>
        <o:r id="V:Rule15" type="connector" idref="#6E4E8625-5E1D-56FD-DE66A2452DAA"/>
        <o:r id="V:Rule16" type="connector" idref="#4B4741F5-9685-CE4C-703F65849098"/>
        <o:r id="V:Rule17" type="connector" idref="#7618A562-3BDF-225E-9614C0FEAEAE"/>
        <o:r id="V:Rule18" type="connector" idref="#19298728-7B64-6B0F-68FF3CF6E81B"/>
        <o:r id="V:Rule19" type="connector" idref="#13C84E3B-0614-43E0-83A99396A2D9"/>
        <o:r id="V:Rule20" type="connector" idref="#AFD424CA-D871-84B2-0388FF5D5DF2"/>
        <o:r id="V:Rule21" type="connector" idref="#6B72573C-D3B7-58AE-BD609C8039C7"/>
        <o:r id="V:Rule22" type="connector" idref="#7522DF48-59D5-67A5-B56A1AFDC44B"/>
        <o:r id="V:Rule23" type="connector" idref="#9DAFD54F-4F21-A8AB-CDDB919164FF"/>
        <o:r id="V:Rule24" type="connector" idref="#D287BD7E-691E-BD2B-AC2EECFEBD0C"/>
        <o:r id="V:Rule25" type="connector" idref="#01031ADE-EAAC-26F5-4D8C60B1DFEC"/>
        <o:r id="V:Rule26" type="connector" idref="#9222D9AA-9E06-42D2-649A2D03851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iPriority="99" w:semiHidden="0" w:name="envelope address"/>
    <w:lsdException w:uiPriority="99" w:semiHidden="0" w:name="envelope return"/>
    <w:lsdException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480" w:after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5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6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7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38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9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40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1">
    <w:name w:val="Default Paragraph Font"/>
    <w:unhideWhenUsed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endnote text"/>
    <w:basedOn w:val="1"/>
    <w:link w:val="53"/>
    <w:unhideWhenUsed/>
    <w:uiPriority w:val="99"/>
    <w:pPr>
      <w:spacing w:after="0" w:line="240" w:lineRule="auto"/>
    </w:pPr>
    <w:rPr>
      <w:sz w:val="20"/>
      <w:szCs w:val="20"/>
    </w:rPr>
  </w:style>
  <w:style w:type="paragraph" w:styleId="12">
    <w:name w:val="envelope address"/>
    <w:basedOn w:val="1"/>
    <w:unhideWhenUsed/>
    <w:uiPriority w:val="99"/>
    <w:pPr>
      <w:spacing w:after="0" w:line="240" w:lineRule="auto"/>
      <w:ind w:left="2880"/>
    </w:pPr>
    <w:rPr>
      <w:rFonts w:asciiTheme="majorHAnsi" w:hAnsiTheme="majorHAnsi" w:eastAsiaTheme="majorEastAsia" w:cstheme="majorBidi"/>
      <w:sz w:val="24"/>
    </w:rPr>
  </w:style>
  <w:style w:type="paragraph" w:styleId="13">
    <w:name w:val="envelope return"/>
    <w:basedOn w:val="1"/>
    <w:unhideWhenUsed/>
    <w:uiPriority w:val="99"/>
    <w:pPr>
      <w:spacing w:after="0" w:line="240" w:lineRule="auto"/>
    </w:pPr>
    <w:rPr>
      <w:rFonts w:asciiTheme="majorHAnsi" w:hAnsiTheme="majorHAnsi" w:eastAsiaTheme="majorEastAsia" w:cstheme="majorBidi"/>
      <w:sz w:val="20"/>
    </w:rPr>
  </w:style>
  <w:style w:type="paragraph" w:styleId="14">
    <w:name w:val="footer"/>
    <w:basedOn w:val="1"/>
    <w:link w:val="3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5">
    <w:name w:val="footnote text"/>
    <w:basedOn w:val="1"/>
    <w:link w:val="52"/>
    <w:unhideWhenUsed/>
    <w:uiPriority w:val="99"/>
    <w:pPr>
      <w:spacing w:after="0" w:line="240" w:lineRule="auto"/>
    </w:pPr>
    <w:rPr>
      <w:sz w:val="20"/>
      <w:szCs w:val="20"/>
    </w:rPr>
  </w:style>
  <w:style w:type="paragraph" w:styleId="16">
    <w:name w:val="header"/>
    <w:basedOn w:val="1"/>
    <w:link w:val="2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7">
    <w:name w:val="Normal (Web)"/>
    <w:basedOn w:val="1"/>
    <w:unhideWhenUsed/>
    <w:uiPriority w:val="99"/>
    <w:pPr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18">
    <w:name w:val="Plain Text"/>
    <w:basedOn w:val="1"/>
    <w:link w:val="54"/>
    <w:unhideWhenUsed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paragraph" w:styleId="19">
    <w:name w:val="Subtitle"/>
    <w:basedOn w:val="1"/>
    <w:next w:val="1"/>
    <w:link w:val="42"/>
    <w:qFormat/>
    <w:uiPriority w:val="11"/>
    <w:pPr>
      <w:numPr>
        <w:ilvl w:val="1"/>
        <w:numId w:val="0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0">
    <w:name w:val="Title"/>
    <w:basedOn w:val="1"/>
    <w:next w:val="1"/>
    <w:link w:val="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</w:rPr>
  </w:style>
  <w:style w:type="character" w:styleId="22">
    <w:name w:val="Emphasis"/>
    <w:basedOn w:val="21"/>
    <w:qFormat/>
    <w:uiPriority w:val="20"/>
    <w:rPr>
      <w:i/>
      <w:iCs/>
    </w:rPr>
  </w:style>
  <w:style w:type="character" w:styleId="23">
    <w:name w:val="endnote reference"/>
    <w:basedOn w:val="21"/>
    <w:unhideWhenUsed/>
    <w:uiPriority w:val="99"/>
    <w:rPr>
      <w:vertAlign w:val="superscript"/>
    </w:rPr>
  </w:style>
  <w:style w:type="character" w:styleId="24">
    <w:name w:val="footnote reference"/>
    <w:basedOn w:val="21"/>
    <w:unhideWhenUsed/>
    <w:uiPriority w:val="99"/>
    <w:rPr>
      <w:vertAlign w:val="superscript"/>
    </w:rPr>
  </w:style>
  <w:style w:type="character" w:styleId="25">
    <w:name w:val="Hyperlink"/>
    <w:basedOn w:val="2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Strong"/>
    <w:basedOn w:val="21"/>
    <w:qFormat/>
    <w:uiPriority w:val="22"/>
    <w:rPr>
      <w:b/>
      <w:bCs/>
    </w:rPr>
  </w:style>
  <w:style w:type="paragraph" w:customStyle="1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Header Char"/>
    <w:basedOn w:val="21"/>
    <w:link w:val="16"/>
    <w:qFormat/>
    <w:uiPriority w:val="99"/>
    <w:rPr>
      <w:lang w:val="en-GB"/>
    </w:rPr>
  </w:style>
  <w:style w:type="character" w:customStyle="1" w:styleId="30">
    <w:name w:val="Footer Char"/>
    <w:basedOn w:val="21"/>
    <w:link w:val="14"/>
    <w:uiPriority w:val="99"/>
    <w:rPr>
      <w:lang w:val="en-GB"/>
    </w:rPr>
  </w:style>
  <w:style w:type="paragraph" w:customStyle="1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32">
    <w:name w:val="Heading 1 Char"/>
    <w:basedOn w:val="2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3">
    <w:name w:val="Heading 2 Char"/>
    <w:basedOn w:val="21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4">
    <w:name w:val="Heading 3 Char"/>
    <w:basedOn w:val="21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Heading 4 Char"/>
    <w:basedOn w:val="21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Heading 5 Char"/>
    <w:basedOn w:val="21"/>
    <w:link w:val="6"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7">
    <w:name w:val="Heading 6 Char"/>
    <w:basedOn w:val="21"/>
    <w:link w:val="7"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8">
    <w:name w:val="Heading 7 Char"/>
    <w:basedOn w:val="21"/>
    <w:link w:val="8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Heading 8 Char"/>
    <w:basedOn w:val="21"/>
    <w:link w:val="9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Heading 9 Char"/>
    <w:basedOn w:val="21"/>
    <w:link w:val="10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1">
    <w:name w:val="Title Char"/>
    <w:basedOn w:val="21"/>
    <w:link w:val="20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</w:rPr>
  </w:style>
  <w:style w:type="character" w:customStyle="1" w:styleId="42">
    <w:name w:val="Subtitle Char"/>
    <w:basedOn w:val="21"/>
    <w:link w:val="19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43">
    <w:name w:val="Subtle Emphasis"/>
    <w:basedOn w:val="2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4">
    <w:name w:val="Intense Emphasis"/>
    <w:basedOn w:val="2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45">
    <w:name w:val="Quote"/>
    <w:basedOn w:val="1"/>
    <w:next w:val="1"/>
    <w:link w:val="46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6">
    <w:name w:val="Quote Char"/>
    <w:basedOn w:val="21"/>
    <w:link w:val="45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47">
    <w:name w:val="Intense Quote"/>
    <w:basedOn w:val="1"/>
    <w:next w:val="1"/>
    <w:link w:val="4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8">
    <w:name w:val="Intense Quote Char"/>
    <w:basedOn w:val="21"/>
    <w:link w:val="47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9">
    <w:name w:val="Subtle Reference"/>
    <w:basedOn w:val="2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50">
    <w:name w:val="Intense Reference"/>
    <w:basedOn w:val="2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51">
    <w:name w:val="Book Title"/>
    <w:basedOn w:val="21"/>
    <w:qFormat/>
    <w:uiPriority w:val="33"/>
    <w:rPr>
      <w:b/>
      <w:bCs/>
      <w:smallCaps/>
      <w:spacing w:val="5"/>
    </w:rPr>
  </w:style>
  <w:style w:type="character" w:customStyle="1" w:styleId="52">
    <w:name w:val="Footnote Text Char"/>
    <w:basedOn w:val="21"/>
    <w:link w:val="15"/>
    <w:semiHidden/>
    <w:uiPriority w:val="99"/>
    <w:rPr>
      <w:sz w:val="20"/>
      <w:szCs w:val="20"/>
    </w:rPr>
  </w:style>
  <w:style w:type="character" w:customStyle="1" w:styleId="53">
    <w:name w:val="Endnote Text Char"/>
    <w:basedOn w:val="21"/>
    <w:link w:val="11"/>
    <w:semiHidden/>
    <w:uiPriority w:val="99"/>
    <w:rPr>
      <w:sz w:val="20"/>
      <w:szCs w:val="20"/>
    </w:rPr>
  </w:style>
  <w:style w:type="character" w:customStyle="1" w:styleId="54">
    <w:name w:val="Plain Text Char"/>
    <w:basedOn w:val="21"/>
    <w:link w:val="18"/>
    <w:uiPriority w:val="99"/>
    <w:rPr>
      <w:rFonts w:ascii="Courier New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1893</Characters>
  <Lines>15</Lines>
  <Paragraphs>4</Paragraphs>
  <TotalTime>0</TotalTime>
  <ScaleCrop>false</ScaleCrop>
  <LinksUpToDate>false</LinksUpToDate>
  <CharactersWithSpaces>2220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2020-04-15T19:12:43Z</dcterms:created>
  <dc:creator>TOYIN</dc:creator>
  <cp:lastModifiedBy>K’s iphone</cp:lastModifiedBy>
  <dcterms:modified xsi:type="dcterms:W3CDTF">2020-04-15T19:14:03Z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