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09" w:rsidRPr="00B3414C" w:rsidRDefault="00680D09" w:rsidP="00680D09">
      <w:pPr>
        <w:jc w:val="center"/>
        <w:outlineLvl w:val="0"/>
        <w:rPr>
          <w:rFonts w:ascii="Times New Roman" w:eastAsia="Adobe Fan Heiti Std B" w:hAnsi="Times New Roman" w:cs="Times New Roman"/>
          <w:sz w:val="32"/>
          <w:szCs w:val="32"/>
        </w:rPr>
      </w:pPr>
      <w:bookmarkStart w:id="0" w:name="_GoBack"/>
      <w:bookmarkEnd w:id="0"/>
      <w:r w:rsidRPr="00B3414C">
        <w:rPr>
          <w:rFonts w:ascii="Times New Roman" w:eastAsia="Adobe Fan Heiti Std B" w:hAnsi="Times New Roman" w:cs="Times New Roman"/>
          <w:noProof/>
          <w:sz w:val="32"/>
          <w:szCs w:val="32"/>
          <w:lang w:eastAsia="en-GB"/>
        </w:rPr>
        <w:drawing>
          <wp:inline distT="0" distB="0" distL="0" distR="0" wp14:anchorId="4A25A658" wp14:editId="216B535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680D09" w:rsidRPr="00B3414C" w:rsidRDefault="00680D09" w:rsidP="00680D09">
      <w:pPr>
        <w:jc w:val="center"/>
        <w:outlineLvl w:val="0"/>
        <w:rPr>
          <w:rFonts w:ascii="Times New Roman" w:eastAsia="Adobe Fan Heiti Std B" w:hAnsi="Times New Roman" w:cs="Times New Roman"/>
          <w:sz w:val="32"/>
          <w:szCs w:val="32"/>
        </w:rPr>
      </w:pPr>
    </w:p>
    <w:p w:rsidR="00680D09" w:rsidRDefault="00680D09" w:rsidP="00680D0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OBERHIRHI FAVOUR OGHENENYORE</w:t>
      </w:r>
    </w:p>
    <w:p w:rsidR="00680D09" w:rsidRPr="00B3414C" w:rsidRDefault="00680D09" w:rsidP="00680D0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17/ENG01/019</w:t>
      </w:r>
    </w:p>
    <w:p w:rsidR="00680D09" w:rsidRPr="00B3414C" w:rsidRDefault="00680D09" w:rsidP="00680D09">
      <w:pPr>
        <w:jc w:val="center"/>
        <w:outlineLvl w:val="0"/>
        <w:rPr>
          <w:rFonts w:ascii="Times New Roman" w:eastAsia="Adobe Fan Heiti Std B" w:hAnsi="Times New Roman" w:cs="Times New Roman"/>
          <w:sz w:val="32"/>
          <w:szCs w:val="32"/>
        </w:rPr>
      </w:pPr>
    </w:p>
    <w:p w:rsidR="00680D09" w:rsidRPr="00B3414C" w:rsidRDefault="00680D09" w:rsidP="00680D09">
      <w:pPr>
        <w:jc w:val="center"/>
        <w:outlineLvl w:val="0"/>
        <w:rPr>
          <w:rFonts w:ascii="Times New Roman" w:eastAsia="Adobe Fan Heiti Std B" w:hAnsi="Times New Roman" w:cs="Times New Roman"/>
          <w:sz w:val="32"/>
          <w:szCs w:val="32"/>
        </w:rPr>
      </w:pPr>
    </w:p>
    <w:p w:rsidR="00680D09" w:rsidRPr="00B3414C" w:rsidRDefault="00680D09" w:rsidP="00680D09">
      <w:pPr>
        <w:jc w:val="center"/>
        <w:outlineLvl w:val="0"/>
        <w:rPr>
          <w:rFonts w:ascii="Times New Roman" w:eastAsia="Adobe Fan Heiti Std B" w:hAnsi="Times New Roman" w:cs="Times New Roman"/>
          <w:sz w:val="32"/>
          <w:szCs w:val="32"/>
        </w:rPr>
      </w:pPr>
    </w:p>
    <w:p w:rsidR="00680D09" w:rsidRPr="00B3414C" w:rsidRDefault="00680D09" w:rsidP="00680D0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680D09" w:rsidRPr="00B3414C" w:rsidRDefault="00680D09" w:rsidP="00680D0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680D09" w:rsidRPr="00B3414C" w:rsidRDefault="00680D09" w:rsidP="00680D0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680D09" w:rsidRPr="00B3414C" w:rsidRDefault="00680D09" w:rsidP="00680D09">
      <w:pPr>
        <w:jc w:val="center"/>
        <w:rPr>
          <w:rFonts w:ascii="Times New Roman" w:eastAsia="Adobe Fan Heiti Std B" w:hAnsi="Times New Roman" w:cs="Times New Roman"/>
          <w:sz w:val="32"/>
          <w:szCs w:val="32"/>
        </w:rPr>
      </w:pPr>
    </w:p>
    <w:p w:rsidR="00680D09" w:rsidRPr="00B3414C" w:rsidRDefault="00680D09" w:rsidP="00680D0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680D09" w:rsidRPr="00B3414C" w:rsidRDefault="00680D09" w:rsidP="00680D09">
      <w:pPr>
        <w:ind w:left="5760"/>
        <w:jc w:val="center"/>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14</w:t>
      </w:r>
      <w:r>
        <w:rPr>
          <w:rFonts w:ascii="Times New Roman" w:eastAsia="Adobe Fan Heiti Std B" w:hAnsi="Times New Roman" w:cs="Times New Roman"/>
          <w:sz w:val="32"/>
          <w:szCs w:val="32"/>
          <w:vertAlign w:val="superscript"/>
        </w:rPr>
        <w:t>th</w:t>
      </w:r>
      <w:r>
        <w:rPr>
          <w:rFonts w:ascii="Times New Roman" w:eastAsia="Adobe Fan Heiti Std B" w:hAnsi="Times New Roman" w:cs="Times New Roman"/>
          <w:sz w:val="32"/>
          <w:szCs w:val="32"/>
        </w:rPr>
        <w:t xml:space="preserve"> April</w:t>
      </w:r>
      <w:r w:rsidRPr="00B3414C">
        <w:rPr>
          <w:rFonts w:ascii="Times New Roman" w:eastAsia="Adobe Fan Heiti Std B" w:hAnsi="Times New Roman" w:cs="Times New Roman"/>
          <w:sz w:val="32"/>
          <w:szCs w:val="32"/>
        </w:rPr>
        <w:t>, 2020</w:t>
      </w:r>
    </w:p>
    <w:p w:rsidR="00680D09" w:rsidRPr="00B3414C" w:rsidRDefault="00680D09" w:rsidP="00680D09"/>
    <w:p w:rsidR="00680D09" w:rsidRPr="00B3414C" w:rsidRDefault="00680D09" w:rsidP="00680D09"/>
    <w:p w:rsidR="00680D09" w:rsidRPr="00B3414C" w:rsidRDefault="00680D09" w:rsidP="00680D09"/>
    <w:p w:rsidR="00680D09" w:rsidRPr="00B3414C" w:rsidRDefault="00680D09" w:rsidP="00680D09"/>
    <w:p w:rsidR="00680D09" w:rsidRPr="00B3414C" w:rsidRDefault="00680D09" w:rsidP="00680D09"/>
    <w:p w:rsidR="00680D09" w:rsidRPr="00B3414C" w:rsidRDefault="00680D09" w:rsidP="00680D09"/>
    <w:p w:rsidR="00680D09" w:rsidRPr="00B3414C" w:rsidRDefault="00680D09" w:rsidP="00680D09">
      <w:r w:rsidRPr="00B3414C">
        <w:t xml:space="preserve">                                                                          ASSIGNMENT</w:t>
      </w: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lastRenderedPageBreak/>
        <w:t>Briefly discuss the following intellectual property protection methods.</w:t>
      </w: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680D09" w:rsidRPr="00B3414C" w:rsidRDefault="00680D09" w:rsidP="00680D0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6"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7"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8"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9"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0"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1"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2"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680D09" w:rsidRPr="00B3414C" w:rsidRDefault="00680D09" w:rsidP="00680D0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13"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14"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15"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16"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17"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18"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19"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680D09" w:rsidRPr="00B3414C" w:rsidRDefault="00680D09" w:rsidP="00680D0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20"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21"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22"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23"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24"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25"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26"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27"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28"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29"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30"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31"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32"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33"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680D09" w:rsidRPr="00B3414C" w:rsidRDefault="00680D09" w:rsidP="00680D09">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34"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35"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36"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37"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38"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39"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40"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41"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42"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680D09" w:rsidRPr="00B3414C" w:rsidRDefault="00680D09" w:rsidP="00680D0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680D09" w:rsidRPr="00B3414C" w:rsidRDefault="00680D09" w:rsidP="00680D0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680D09" w:rsidRPr="00B3414C" w:rsidRDefault="00680D09" w:rsidP="00680D0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680D09" w:rsidRPr="00B3414C" w:rsidRDefault="00680D09" w:rsidP="00680D0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where the holder makes reasonable efforts to maintain its secrecy.</w:t>
      </w:r>
    </w:p>
    <w:p w:rsidR="00680D09" w:rsidRDefault="00680D09" w:rsidP="00680D09"/>
    <w:p w:rsidR="00A32C17" w:rsidRDefault="0024287B"/>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09"/>
    <w:rsid w:val="0024287B"/>
    <w:rsid w:val="00680D09"/>
    <w:rsid w:val="0081712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97E09-53F5-F44B-86DC-89BE2CF8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0D09"/>
    <w:rPr>
      <w:color w:val="0000FF"/>
      <w:u w:val="single"/>
    </w:rPr>
  </w:style>
  <w:style w:type="paragraph" w:styleId="BalloonText">
    <w:name w:val="Balloon Text"/>
    <w:basedOn w:val="Normal"/>
    <w:link w:val="BalloonTextChar"/>
    <w:uiPriority w:val="99"/>
    <w:semiHidden/>
    <w:unhideWhenUsed/>
    <w:rsid w:val="0068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fficiency_of_disclosure" TargetMode="External" /><Relationship Id="rId13" Type="http://schemas.openxmlformats.org/officeDocument/2006/relationships/hyperlink" Target="https://en.wikipedia.org/wiki/Exclusive_right" TargetMode="External" /><Relationship Id="rId18" Type="http://schemas.openxmlformats.org/officeDocument/2006/relationships/hyperlink" Target="https://en.wikipedia.org/wiki/Performing_rights" TargetMode="External" /><Relationship Id="rId26" Type="http://schemas.openxmlformats.org/officeDocument/2006/relationships/hyperlink" Target="https://en.wikipedia.org/wiki/Service_mark" TargetMode="External" /><Relationship Id="rId39" Type="http://schemas.openxmlformats.org/officeDocument/2006/relationships/hyperlink" Target="https://en.wikipedia.org/wiki/Legal_instrument" TargetMode="External" /><Relationship Id="rId3" Type="http://schemas.openxmlformats.org/officeDocument/2006/relationships/settings" Target="settings.xml" /><Relationship Id="rId21" Type="http://schemas.openxmlformats.org/officeDocument/2006/relationships/hyperlink" Target="https://en.wikipedia.org/wiki/Sign_(semiotics)" TargetMode="External" /><Relationship Id="rId34" Type="http://schemas.openxmlformats.org/officeDocument/2006/relationships/hyperlink" Target="https://en.wikipedia.org/wiki/Intellectual_property" TargetMode="External" /><Relationship Id="rId42" Type="http://schemas.openxmlformats.org/officeDocument/2006/relationships/hyperlink" Target="https://en.wikipedia.org/wiki/Confidential_information" TargetMode="External" /><Relationship Id="rId7" Type="http://schemas.openxmlformats.org/officeDocument/2006/relationships/hyperlink" Target="https://en.wikipedia.org/wiki/Invention" TargetMode="External" /><Relationship Id="rId12" Type="http://schemas.openxmlformats.org/officeDocument/2006/relationships/hyperlink" Target="https://en.wikipedia.org/wiki/Competitive_advantage" TargetMode="External" /><Relationship Id="rId17" Type="http://schemas.openxmlformats.org/officeDocument/2006/relationships/hyperlink" Target="https://en.wikipedia.org/wiki/Derivative_work" TargetMode="External" /><Relationship Id="rId25" Type="http://schemas.openxmlformats.org/officeDocument/2006/relationships/hyperlink" Target="https://en.wikipedia.org/wiki/Service_economies" TargetMode="External" /><Relationship Id="rId33" Type="http://schemas.openxmlformats.org/officeDocument/2006/relationships/hyperlink" Target="https://en.wikipedia.org/wiki/Intellectual_property" TargetMode="External" /><Relationship Id="rId38" Type="http://schemas.openxmlformats.org/officeDocument/2006/relationships/hyperlink" Target="https://en.wikipedia.org/wiki/Design" TargetMode="External" /><Relationship Id="rId2" Type="http://schemas.openxmlformats.org/officeDocument/2006/relationships/styles" Target="styles.xml" /><Relationship Id="rId16" Type="http://schemas.openxmlformats.org/officeDocument/2006/relationships/hyperlink" Target="https://en.wikipedia.org/wiki/Fair_use" TargetMode="External" /><Relationship Id="rId20" Type="http://schemas.openxmlformats.org/officeDocument/2006/relationships/hyperlink" Target="https://en.wikipedia.org/wiki/Intellectual_property" TargetMode="External" /><Relationship Id="rId29" Type="http://schemas.openxmlformats.org/officeDocument/2006/relationships/hyperlink" Target="https://en.wikipedia.org/wiki/Packaging_and_labeling" TargetMode="External" /><Relationship Id="rId41" Type="http://schemas.openxmlformats.org/officeDocument/2006/relationships/hyperlink" Target="https://en.wikipedia.org/wiki/Jurisdiction" TargetMode="External" /><Relationship Id="rId1" Type="http://schemas.openxmlformats.org/officeDocument/2006/relationships/numbering" Target="numbering.xml" /><Relationship Id="rId6" Type="http://schemas.openxmlformats.org/officeDocument/2006/relationships/hyperlink" Target="https://en.wikipedia.org/wiki/Intellectual_property" TargetMode="External" /><Relationship Id="rId11" Type="http://schemas.openxmlformats.org/officeDocument/2006/relationships/hyperlink" Target="https://en.wikipedia.org/wiki/Outline_of_industry" TargetMode="External" /><Relationship Id="rId24" Type="http://schemas.openxmlformats.org/officeDocument/2006/relationships/hyperlink" Target="https://en.wikipedia.org/wiki/Good_(economics_and_accounting)" TargetMode="External" /><Relationship Id="rId32" Type="http://schemas.openxmlformats.org/officeDocument/2006/relationships/hyperlink" Target="https://en.wikipedia.org/wiki/Corporate_identity" TargetMode="External" /><Relationship Id="rId37" Type="http://schemas.openxmlformats.org/officeDocument/2006/relationships/hyperlink" Target="https://en.wikipedia.org/wiki/Business_process" TargetMode="External" /><Relationship Id="rId40" Type="http://schemas.openxmlformats.org/officeDocument/2006/relationships/hyperlink" Target="https://en.wikipedia.org/wiki/Pattern" TargetMode="External" /><Relationship Id="rId5" Type="http://schemas.openxmlformats.org/officeDocument/2006/relationships/image" Target="media/image1.png" /><Relationship Id="rId15" Type="http://schemas.openxmlformats.org/officeDocument/2006/relationships/hyperlink" Target="https://en.wikipedia.org/wiki/Limitations_and_exceptions_to_copyright" TargetMode="External" /><Relationship Id="rId23" Type="http://schemas.openxmlformats.org/officeDocument/2006/relationships/hyperlink" Target="https://en.wikipedia.org/wiki/Expression_(language)" TargetMode="External" /><Relationship Id="rId28" Type="http://schemas.openxmlformats.org/officeDocument/2006/relationships/hyperlink" Target="https://en.wikipedia.org/wiki/Juristic_person" TargetMode="External" /><Relationship Id="rId36" Type="http://schemas.openxmlformats.org/officeDocument/2006/relationships/hyperlink" Target="https://en.wikipedia.org/wiki/Best_practice" TargetMode="External" /><Relationship Id="rId10" Type="http://schemas.openxmlformats.org/officeDocument/2006/relationships/hyperlink" Target="https://en.wikipedia.org/wiki/Patent_infringement" TargetMode="External" /><Relationship Id="rId19" Type="http://schemas.openxmlformats.org/officeDocument/2006/relationships/hyperlink" Target="https://en.wikipedia.org/wiki/Moral_rights" TargetMode="External" /><Relationship Id="rId31" Type="http://schemas.openxmlformats.org/officeDocument/2006/relationships/hyperlink" Target="https://en.wikipedia.org/wiki/Voucher" TargetMode="External" /><Relationship Id="rId44"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wikipedia.org/wiki/Private_law" TargetMode="External" /><Relationship Id="rId14" Type="http://schemas.openxmlformats.org/officeDocument/2006/relationships/hyperlink" Target="https://en.wikipedia.org/wiki/Creative_work" TargetMode="External" /><Relationship Id="rId22" Type="http://schemas.openxmlformats.org/officeDocument/2006/relationships/hyperlink" Target="https://en.wikipedia.org/wiki/Design" TargetMode="External" /><Relationship Id="rId27" Type="http://schemas.openxmlformats.org/officeDocument/2006/relationships/hyperlink" Target="https://en.wikipedia.org/wiki/Business_organizations" TargetMode="External" /><Relationship Id="rId30" Type="http://schemas.openxmlformats.org/officeDocument/2006/relationships/hyperlink" Target="https://en.wikipedia.org/wiki/Label" TargetMode="External" /><Relationship Id="rId35" Type="http://schemas.openxmlformats.org/officeDocument/2006/relationships/hyperlink" Target="https://en.wikipedia.org/wiki/Formula" TargetMode="External" /><Relationship Id="rId43"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favynyore@gmail.com</cp:lastModifiedBy>
  <cp:revision>2</cp:revision>
  <dcterms:created xsi:type="dcterms:W3CDTF">2020-04-15T20:01:00Z</dcterms:created>
  <dcterms:modified xsi:type="dcterms:W3CDTF">2020-04-15T20:01:00Z</dcterms:modified>
</cp:coreProperties>
</file>