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5E" w:rsidRDefault="00403A30">
      <w:pPr>
        <w:rPr>
          <w:b/>
          <w:lang w:val="en-US"/>
        </w:rPr>
      </w:pPr>
      <w:r>
        <w:rPr>
          <w:b/>
          <w:lang w:val="en-US"/>
        </w:rPr>
        <w:t>NAME: AGGREY USHANG O.</w:t>
      </w: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  <w:r>
        <w:rPr>
          <w:b/>
          <w:lang w:val="en-US"/>
        </w:rPr>
        <w:t>MATRIC NO: 16/sms02/006</w:t>
      </w: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  <w:r>
        <w:rPr>
          <w:b/>
          <w:lang w:val="en-US"/>
        </w:rPr>
        <w:t>DEPARTMENT: ACCOUNTING</w:t>
      </w: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  <w:r>
        <w:rPr>
          <w:b/>
          <w:lang w:val="en-US"/>
        </w:rPr>
        <w:t>LEVEL: 400</w:t>
      </w: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  <w:r>
        <w:rPr>
          <w:b/>
          <w:lang w:val="en-US"/>
        </w:rPr>
        <w:t>COURSE CODE: ACC406</w:t>
      </w: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b/>
          <w:lang w:val="en-US"/>
        </w:rPr>
      </w:pPr>
    </w:p>
    <w:p w:rsidR="00403A30" w:rsidRDefault="00403A30">
      <w:pPr>
        <w:rPr>
          <w:rFonts w:cs="Arial"/>
          <w:b/>
          <w:color w:val="333333"/>
          <w:szCs w:val="28"/>
          <w:shd w:val="clear" w:color="auto" w:fill="FFFFFF"/>
        </w:rPr>
      </w:pPr>
      <w:r>
        <w:rPr>
          <w:b/>
          <w:lang w:val="en-US"/>
        </w:rPr>
        <w:t xml:space="preserve">ASSIGNMENT: </w:t>
      </w:r>
      <w:r w:rsidRPr="00403A30">
        <w:rPr>
          <w:rFonts w:cs="Arial"/>
          <w:b/>
          <w:color w:val="333333"/>
          <w:szCs w:val="28"/>
          <w:shd w:val="clear" w:color="auto" w:fill="FFFFFF"/>
        </w:rPr>
        <w:t>Summarise, in not more than 2 pages, the note on International Transfer Pricing.</w:t>
      </w:r>
    </w:p>
    <w:p w:rsidR="00763AB5" w:rsidRDefault="00763AB5">
      <w:pPr>
        <w:rPr>
          <w:rFonts w:cs="Arial"/>
          <w:b/>
          <w:color w:val="333333"/>
          <w:szCs w:val="28"/>
          <w:shd w:val="clear" w:color="auto" w:fill="FFFFFF"/>
        </w:rPr>
      </w:pPr>
    </w:p>
    <w:p w:rsidR="00763AB5" w:rsidRDefault="00763AB5">
      <w:pPr>
        <w:rPr>
          <w:rFonts w:cs="Arial"/>
          <w:b/>
          <w:color w:val="333333"/>
          <w:szCs w:val="28"/>
          <w:shd w:val="clear" w:color="auto" w:fill="FFFFFF"/>
        </w:rPr>
      </w:pPr>
    </w:p>
    <w:p w:rsidR="00763AB5" w:rsidRDefault="00763AB5">
      <w:pPr>
        <w:rPr>
          <w:rFonts w:cs="Arial"/>
          <w:b/>
          <w:color w:val="333333"/>
          <w:szCs w:val="28"/>
          <w:shd w:val="clear" w:color="auto" w:fill="FFFFFF"/>
        </w:rPr>
      </w:pPr>
    </w:p>
    <w:p w:rsidR="00763AB5" w:rsidRDefault="00763AB5">
      <w:pPr>
        <w:rPr>
          <w:rFonts w:cs="Arial"/>
          <w:b/>
          <w:color w:val="333333"/>
          <w:szCs w:val="28"/>
          <w:shd w:val="clear" w:color="auto" w:fill="FFFFFF"/>
        </w:rPr>
      </w:pPr>
    </w:p>
    <w:p w:rsidR="00763AB5" w:rsidRPr="00763AB5" w:rsidRDefault="00763AB5" w:rsidP="00763A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Transfer pricing</w:t>
      </w:r>
      <w:r w:rsidRPr="00763AB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refers to the determination of the price at which transactions between related parties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will be carried out. Transfers can be from a subsidiary to its parent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upstream), from the parent to a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subsidiary (downstream), or from one subsidiary to another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same parent. Transfers between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related parties are also known as </w:t>
      </w:r>
      <w:r w:rsidRPr="00763AB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intercompany transactions.</w:t>
      </w:r>
      <w:r w:rsidRPr="00763AB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Interc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ompany transactions represent a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significant portion of international trade.</w:t>
      </w:r>
    </w:p>
    <w:p w:rsidR="00763AB5" w:rsidRPr="00763AB5" w:rsidRDefault="00763AB5" w:rsidP="00763A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sz w:val="24"/>
          <w:szCs w:val="24"/>
          <w:lang w:val="en-US"/>
        </w:rPr>
        <w:t>Two factors heavily influence the manner in which international transfer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rices are determined. The first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factor is the objective that headquarters management wishes to achie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 through its transfer pricing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practices. One possible objective relates to management control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performance evaluation. Another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objective relates to the minimization of one or more types of costs. Thes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two types of objectives often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conflict.</w:t>
      </w:r>
    </w:p>
    <w:p w:rsidR="00763AB5" w:rsidRDefault="00763AB5" w:rsidP="00763A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sz w:val="24"/>
          <w:szCs w:val="24"/>
          <w:lang w:val="en-US"/>
        </w:rPr>
        <w:t>The second factor affecting international transfer pricing is the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that exists in most countries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governing the manner in which intercompany transactions crossing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 borders may be priced. These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laws were established to make sure that multinational corporations (MNC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s) are not able to avoid paying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their fair share of taxes, import duties, and so on by virtue of the fac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that they operate in multiple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jurisdictions. In establishing international transfer prices, MNCs ofte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must walk a fine line between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achieving corporate objectives and complying with applicable rules and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regulations. </w:t>
      </w:r>
    </w:p>
    <w:p w:rsidR="00763AB5" w:rsidRPr="00763AB5" w:rsidRDefault="00763AB5" w:rsidP="00763A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b/>
          <w:bCs/>
          <w:sz w:val="24"/>
          <w:szCs w:val="24"/>
          <w:lang w:val="en-US"/>
        </w:rPr>
        <w:t>DECENTRALIZATION AND GOAL CONGRUENCE</w:t>
      </w:r>
    </w:p>
    <w:p w:rsidR="00763AB5" w:rsidRPr="00763AB5" w:rsidRDefault="00763AB5" w:rsidP="00763A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Business enterprises often are organized by </w:t>
      </w:r>
      <w:r w:rsidRPr="00763AB5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division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.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division may be a profit center, responsible for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revenues and operating e</w:t>
      </w:r>
      <w:r>
        <w:rPr>
          <w:rFonts w:ascii="Times New Roman" w:hAnsi="Times New Roman" w:cs="Times New Roman"/>
          <w:sz w:val="24"/>
          <w:szCs w:val="24"/>
          <w:lang w:val="en-US"/>
        </w:rPr>
        <w:t>xpenses, or an investment center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, responsible also for 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ets. In a company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organized by division, top managers delegate or decentralize authority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responsibility to division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managers. </w:t>
      </w:r>
      <w:r w:rsidRPr="00763AB5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Decentralization</w:t>
      </w:r>
      <w:r w:rsidRPr="00763AB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has many advantages, including the following:</w:t>
      </w:r>
    </w:p>
    <w:p w:rsidR="00763AB5" w:rsidRPr="00763AB5" w:rsidRDefault="00763AB5" w:rsidP="00763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sz w:val="24"/>
          <w:szCs w:val="24"/>
          <w:lang w:val="en-US"/>
        </w:rPr>
        <w:t>Allowing local managers to respond quickly to a changing environment.</w:t>
      </w:r>
    </w:p>
    <w:p w:rsidR="00763AB5" w:rsidRPr="00763AB5" w:rsidRDefault="00763AB5" w:rsidP="00763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sz w:val="24"/>
          <w:szCs w:val="24"/>
          <w:lang w:val="en-US"/>
        </w:rPr>
        <w:t>Dividing large, complex problems into manageable pieces.</w:t>
      </w:r>
    </w:p>
    <w:p w:rsidR="00763AB5" w:rsidRDefault="00763AB5" w:rsidP="00763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sz w:val="24"/>
          <w:szCs w:val="24"/>
          <w:lang w:val="en-US"/>
        </w:rPr>
        <w:lastRenderedPageBreak/>
        <w:t>Motivating local managers who otherwise will be frustrated if asked only to implement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decisions of others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3AB5" w:rsidRDefault="00763AB5" w:rsidP="00763A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TRANSFER PRICING METHODS</w:t>
      </w:r>
    </w:p>
    <w:p w:rsidR="00763AB5" w:rsidRDefault="00763AB5" w:rsidP="00763A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Cost-based transfer price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: The transfer price is based on the cost to produce a good or service. Cost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can be determined as variable production cost, variable plus fixed production cost, or full cost,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based on either actual or budgeted amounts (standard costs). The transfer price often includes a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profit margin for the seller (a “cost-plus” price).</w:t>
      </w:r>
    </w:p>
    <w:p w:rsidR="00763AB5" w:rsidRDefault="00763AB5" w:rsidP="00763A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B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Market-based transfer price</w:t>
      </w:r>
      <w:r w:rsidRPr="00763AB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The transfer price charged a related party is either based on the price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that would be charged to an unrelated customer or determined by reference to sales of similar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products or services by other companies to unrelated parties. Market-based systems avoid the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>problem associated with cost-based systems of transferring the inefficiencies of one division or</w:t>
      </w:r>
      <w:r w:rsidRPr="0076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subsidiary to others.</w:t>
      </w:r>
    </w:p>
    <w:p w:rsidR="00763AB5" w:rsidRDefault="00D25402" w:rsidP="00D254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40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Negotiated price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: The transfer price is the result of negotiation between buyer and seller and may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be unrelated to either cost or market value. A negotiated pric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ing system can be useful, as it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subsidiary managers the freedom to bargain with one another, thereby preserving the autonomy of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subsidiary managers. However, for this system to work efficiently, it is important that there are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external markets for the items being transferred so that t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he negotiating parties can have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402">
        <w:rPr>
          <w:rFonts w:ascii="Times New Roman" w:hAnsi="Times New Roman" w:cs="Times New Roman"/>
          <w:sz w:val="24"/>
          <w:szCs w:val="24"/>
          <w:lang w:val="en-US"/>
        </w:rPr>
        <w:t>information as the basis for negotiation.</w:t>
      </w:r>
    </w:p>
    <w:p w:rsidR="00D25402" w:rsidRDefault="00D25402" w:rsidP="00D254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OBJECTIVES</w:t>
      </w:r>
    </w:p>
    <w:p w:rsidR="00D25402" w:rsidRDefault="00D25402" w:rsidP="00D254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40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Performance Evaluation</w:t>
      </w:r>
      <w:bookmarkStart w:id="0" w:name="_GoBack"/>
      <w:bookmarkEnd w:id="0"/>
    </w:p>
    <w:p w:rsidR="00D25402" w:rsidRPr="00873B66" w:rsidRDefault="00D25402" w:rsidP="00D254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402">
        <w:rPr>
          <w:rFonts w:ascii="Times New Roman" w:hAnsi="Times New Roman" w:cs="Times New Roman"/>
          <w:b/>
          <w:bCs/>
          <w:sz w:val="24"/>
          <w:szCs w:val="24"/>
          <w:lang w:val="en-US"/>
        </w:rPr>
        <w:t>Cost Minimization</w:t>
      </w:r>
    </w:p>
    <w:sectPr w:rsidR="00D25402" w:rsidRPr="00873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E65"/>
    <w:multiLevelType w:val="hybridMultilevel"/>
    <w:tmpl w:val="AD62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1B0"/>
    <w:multiLevelType w:val="hybridMultilevel"/>
    <w:tmpl w:val="4676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7F89"/>
    <w:multiLevelType w:val="hybridMultilevel"/>
    <w:tmpl w:val="AAB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0"/>
    <w:rsid w:val="002724A7"/>
    <w:rsid w:val="00403A30"/>
    <w:rsid w:val="00735E5E"/>
    <w:rsid w:val="00763AB5"/>
    <w:rsid w:val="00873B66"/>
    <w:rsid w:val="00A32A46"/>
    <w:rsid w:val="00D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5EE4"/>
  <w15:chartTrackingRefBased/>
  <w15:docId w15:val="{7DFA6AB7-B6DD-4C6F-9D56-2451B7C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46"/>
    <w:pPr>
      <w:spacing w:line="24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AGGREY</dc:creator>
  <cp:keywords/>
  <dc:description/>
  <cp:lastModifiedBy>AGGREY</cp:lastModifiedBy>
  <cp:revision>2</cp:revision>
  <dcterms:created xsi:type="dcterms:W3CDTF">2020-04-15T19:25:00Z</dcterms:created>
  <dcterms:modified xsi:type="dcterms:W3CDTF">2020-04-15T20:07:00Z</dcterms:modified>
</cp:coreProperties>
</file>