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7E4B58" w:rsidRPr="00641910" w:rsidTr="007E4B58">
        <w:tc>
          <w:tcPr>
            <w:tcW w:w="4675" w:type="dxa"/>
          </w:tcPr>
          <w:p w:rsidR="007E4B58" w:rsidRPr="00641910" w:rsidRDefault="007E4B58">
            <w:pPr>
              <w:rPr>
                <w:rFonts w:ascii="Algerian" w:hAnsi="Algerian"/>
                <w:u w:val="single"/>
              </w:rPr>
            </w:pPr>
            <w:r w:rsidRPr="00641910">
              <w:rPr>
                <w:rFonts w:ascii="Algerian" w:hAnsi="Algerian"/>
                <w:u w:val="single"/>
              </w:rPr>
              <w:t>NAME:</w:t>
            </w:r>
          </w:p>
        </w:tc>
        <w:tc>
          <w:tcPr>
            <w:tcW w:w="4675" w:type="dxa"/>
          </w:tcPr>
          <w:p w:rsidR="007E4B58" w:rsidRPr="00641910" w:rsidRDefault="007E4B58">
            <w:pPr>
              <w:rPr>
                <w:rFonts w:ascii="Algerian" w:hAnsi="Algerian"/>
              </w:rPr>
            </w:pPr>
            <w:r w:rsidRPr="00641910">
              <w:rPr>
                <w:rFonts w:ascii="Algerian" w:hAnsi="Algerian"/>
              </w:rPr>
              <w:t>SHIRU AISHA AMIRA</w:t>
            </w:r>
          </w:p>
        </w:tc>
      </w:tr>
      <w:tr w:rsidR="007E4B58" w:rsidRPr="00641910" w:rsidTr="007E4B58">
        <w:tc>
          <w:tcPr>
            <w:tcW w:w="4675" w:type="dxa"/>
          </w:tcPr>
          <w:p w:rsidR="007E4B58" w:rsidRPr="00641910" w:rsidRDefault="007E4B58">
            <w:pPr>
              <w:rPr>
                <w:rFonts w:ascii="Algerian" w:hAnsi="Algerian"/>
                <w:u w:val="single"/>
              </w:rPr>
            </w:pPr>
            <w:r w:rsidRPr="00641910">
              <w:rPr>
                <w:rFonts w:ascii="Algerian" w:hAnsi="Algerian"/>
                <w:u w:val="single"/>
              </w:rPr>
              <w:t>MATRIC NO:</w:t>
            </w:r>
          </w:p>
        </w:tc>
        <w:tc>
          <w:tcPr>
            <w:tcW w:w="4675" w:type="dxa"/>
          </w:tcPr>
          <w:p w:rsidR="007E4B58" w:rsidRPr="00641910" w:rsidRDefault="007E4B58">
            <w:pPr>
              <w:rPr>
                <w:rFonts w:ascii="Algerian" w:hAnsi="Algerian"/>
              </w:rPr>
            </w:pPr>
            <w:r w:rsidRPr="00641910">
              <w:rPr>
                <w:rFonts w:ascii="Algerian" w:hAnsi="Algerian"/>
              </w:rPr>
              <w:t>19/LAW01/246</w:t>
            </w:r>
          </w:p>
        </w:tc>
      </w:tr>
      <w:tr w:rsidR="007E4B58" w:rsidRPr="00641910" w:rsidTr="007E4B58">
        <w:tc>
          <w:tcPr>
            <w:tcW w:w="4675" w:type="dxa"/>
          </w:tcPr>
          <w:p w:rsidR="007E4B58" w:rsidRPr="00641910" w:rsidRDefault="007E4B58">
            <w:pPr>
              <w:rPr>
                <w:rFonts w:ascii="Algerian" w:hAnsi="Algerian"/>
                <w:u w:val="single"/>
              </w:rPr>
            </w:pPr>
            <w:r w:rsidRPr="00641910">
              <w:rPr>
                <w:rFonts w:ascii="Algerian" w:hAnsi="Algerian"/>
                <w:u w:val="single"/>
              </w:rPr>
              <w:t>COURSE:</w:t>
            </w:r>
          </w:p>
        </w:tc>
        <w:tc>
          <w:tcPr>
            <w:tcW w:w="4675" w:type="dxa"/>
          </w:tcPr>
          <w:p w:rsidR="007E4B58" w:rsidRPr="00641910" w:rsidRDefault="007E4B58">
            <w:pPr>
              <w:rPr>
                <w:rFonts w:ascii="Algerian" w:hAnsi="Algerian"/>
              </w:rPr>
            </w:pPr>
            <w:r w:rsidRPr="00641910">
              <w:rPr>
                <w:rFonts w:ascii="Algerian" w:hAnsi="Algerian"/>
              </w:rPr>
              <w:t>GST 122</w:t>
            </w:r>
          </w:p>
        </w:tc>
      </w:tr>
      <w:tr w:rsidR="007E4B58" w:rsidRPr="00641910" w:rsidTr="007E4B58">
        <w:tc>
          <w:tcPr>
            <w:tcW w:w="4675" w:type="dxa"/>
          </w:tcPr>
          <w:p w:rsidR="007E4B58" w:rsidRPr="00641910" w:rsidRDefault="007E4B58">
            <w:pPr>
              <w:rPr>
                <w:rFonts w:ascii="Algerian" w:hAnsi="Algerian"/>
                <w:u w:val="single"/>
              </w:rPr>
            </w:pPr>
            <w:r w:rsidRPr="00641910">
              <w:rPr>
                <w:rFonts w:ascii="Algerian" w:hAnsi="Algerian"/>
                <w:u w:val="single"/>
              </w:rPr>
              <w:t>DEPT:</w:t>
            </w:r>
          </w:p>
        </w:tc>
        <w:tc>
          <w:tcPr>
            <w:tcW w:w="4675" w:type="dxa"/>
          </w:tcPr>
          <w:p w:rsidR="007E4B58" w:rsidRPr="00641910" w:rsidRDefault="007E4B58">
            <w:pPr>
              <w:rPr>
                <w:rFonts w:ascii="Algerian" w:hAnsi="Algerian"/>
              </w:rPr>
            </w:pPr>
            <w:r w:rsidRPr="00641910">
              <w:rPr>
                <w:rFonts w:ascii="Algerian" w:hAnsi="Algerian"/>
              </w:rPr>
              <w:t>LAW</w:t>
            </w:r>
          </w:p>
        </w:tc>
      </w:tr>
    </w:tbl>
    <w:p w:rsidR="00911F3C" w:rsidRPr="00641910" w:rsidRDefault="00911F3C">
      <w:bookmarkStart w:id="0" w:name="_GoBack"/>
      <w:bookmarkEnd w:id="0"/>
    </w:p>
    <w:p w:rsidR="007E4B58" w:rsidRPr="008B6AA8" w:rsidRDefault="008B6AA8" w:rsidP="008B6AA8">
      <w:pPr>
        <w:jc w:val="center"/>
        <w:rPr>
          <w:rFonts w:ascii="Algerian" w:hAnsi="Algerian"/>
          <w:b/>
          <w:sz w:val="36"/>
          <w:u w:val="single"/>
        </w:rPr>
      </w:pPr>
      <w:r w:rsidRPr="008B6AA8">
        <w:rPr>
          <w:rFonts w:ascii="Algerian" w:hAnsi="Algerian"/>
          <w:b/>
          <w:sz w:val="36"/>
          <w:u w:val="single"/>
        </w:rPr>
        <w:t>CORONAVIRUS (COVID-19)</w:t>
      </w:r>
    </w:p>
    <w:p w:rsidR="008B6AA8" w:rsidRDefault="008B6AA8" w:rsidP="008B6AA8">
      <w:r>
        <w:t>Coronaviruses</w:t>
      </w:r>
      <w:r>
        <w:t xml:space="preserve"> are a group of related viruses that cause diseases in mammals and birds. In humans, coronaviruses cause respiratory tract infections that can range from mild to lethal. Mild illnesses include some cases of the common cold (which has other possible causes, predominantly rhinoviruses), while more lethal varieties can cause SARS, MERS, and COVID-19. Symptoms in other species vary: in chickens, they cause an upper respiratory tract disease, while in cows and pigs they cause diarrhea. There are yet to be vaccines or antiviral drugs to prevent or treat</w:t>
      </w:r>
      <w:r w:rsidR="00DD4D29">
        <w:t xml:space="preserve"> human coronavirus infections. </w:t>
      </w:r>
    </w:p>
    <w:p w:rsidR="008B6AA8" w:rsidRDefault="00DD4D29" w:rsidP="008B6AA8">
      <w:r w:rsidRPr="00641910">
        <w:rPr>
          <w:b/>
          <w:sz w:val="24"/>
        </w:rPr>
        <w:t>Discovery</w:t>
      </w:r>
      <w:r>
        <w:t xml:space="preserve">: </w:t>
      </w:r>
      <w:r w:rsidR="008B6AA8">
        <w:t xml:space="preserve">Coronaviruses were first discovered in the 1930s when an acute respiratory infection of domesticated chickens was shown to be caused by infectious bronchitis virus (IBV). In the 1940s, two more animal coronaviruses, mouse hepatitis virus (MHV) and transmissible gastroenteritis </w:t>
      </w:r>
      <w:r>
        <w:t>virus (TGEV), were isolated.</w:t>
      </w:r>
    </w:p>
    <w:p w:rsidR="008B6AA8" w:rsidRDefault="008B6AA8" w:rsidP="008B6AA8">
      <w:r>
        <w:t>Human coronaviruses we</w:t>
      </w:r>
      <w:r w:rsidR="00DD4D29">
        <w:t xml:space="preserve">re discovered in the 1960s. </w:t>
      </w:r>
      <w:r>
        <w:t>The earliest ones studied were from human patients with the common cold, which were later named human coronavirus 229E</w:t>
      </w:r>
      <w:r w:rsidR="00641910">
        <w:t xml:space="preserve"> and human coronavirus OC43.</w:t>
      </w:r>
      <w:r>
        <w:t xml:space="preserve"> Other human coronaviruses have since been identified, including SARS-CoV in 2003, HCoV NL63 in 2004, HKU1 in 2005, MERS-CoV in 2012, and SARS-CoV-2 in 2019. Most of these have involved serious respir</w:t>
      </w:r>
      <w:r w:rsidR="00DD4D29">
        <w:t>atory tract infections.</w:t>
      </w:r>
    </w:p>
    <w:p w:rsidR="008B6AA8" w:rsidRDefault="00DD4D29" w:rsidP="008B6AA8">
      <w:r w:rsidRPr="00641910">
        <w:rPr>
          <w:b/>
          <w:sz w:val="24"/>
        </w:rPr>
        <w:t>Etymology</w:t>
      </w:r>
      <w:r>
        <w:t xml:space="preserve">: </w:t>
      </w:r>
      <w:r w:rsidR="008B6AA8">
        <w:t xml:space="preserve">The name "coronavirus" is derived from Latin corona, meaning "crown" or "wreath", itself a borrowing from Greek </w:t>
      </w:r>
      <w:r w:rsidR="00641910">
        <w:t>korone</w:t>
      </w:r>
      <w:r>
        <w:t xml:space="preserve">, "garland, and wreath". </w:t>
      </w:r>
      <w:r w:rsidR="008B6AA8">
        <w:t>The name was first used in 1968 by an informal group of virologists in the journal Nature to designate the new family of viruses. The name refers to the characteristic appearance of virions (the infective form of the virus) by electron microscopy, which have a fringe of large, bulbous surface projections creating an image reminiscent of a crown or of a solar corona. This morphology is created by the viral spike peplomers, which are proteins on t</w:t>
      </w:r>
      <w:r w:rsidR="00054C97">
        <w:t>he surface of the virus.</w:t>
      </w:r>
    </w:p>
    <w:p w:rsidR="008B6AA8" w:rsidRDefault="008B6AA8" w:rsidP="008B6AA8">
      <w:r w:rsidRPr="00641910">
        <w:rPr>
          <w:b/>
          <w:sz w:val="24"/>
        </w:rPr>
        <w:t>Structure</w:t>
      </w:r>
      <w:r w:rsidR="00054C97">
        <w:t>:</w:t>
      </w:r>
      <w:r w:rsidR="00054C97" w:rsidRPr="00054C97">
        <w:t xml:space="preserve"> Coronaviruses are large pleomorphic spherical particles with b</w:t>
      </w:r>
      <w:r w:rsidR="00054C97">
        <w:t xml:space="preserve">ulbous surface projections. </w:t>
      </w:r>
      <w:r w:rsidR="00054C97" w:rsidRPr="00054C97">
        <w:t>The average diameter of the virus particles is around 120 nm (.12 μm). The diameter of the envelope is ~80 nm (.08 μm) and the spikes are ~20 nm (.02 μm) long. The envelope of the virus in electron micrographs appears as a distinct pair of electron dense shells.</w:t>
      </w:r>
      <w:r w:rsidR="00054C97">
        <w:t xml:space="preserve"> </w:t>
      </w:r>
    </w:p>
    <w:p w:rsidR="008B6AA8" w:rsidRDefault="00641910" w:rsidP="008B6AA8">
      <w:r>
        <w:t xml:space="preserve"> </w:t>
      </w:r>
      <w:r w:rsidR="00054C97" w:rsidRPr="00641910">
        <w:rPr>
          <w:b/>
        </w:rPr>
        <w:t>L</w:t>
      </w:r>
      <w:r w:rsidR="00DD4D29" w:rsidRPr="00641910">
        <w:rPr>
          <w:b/>
        </w:rPr>
        <w:t>ife cycle (Entry</w:t>
      </w:r>
      <w:r w:rsidR="00DD4D29">
        <w:t>)</w:t>
      </w:r>
      <w:r w:rsidR="00054C97">
        <w:t xml:space="preserve">: </w:t>
      </w:r>
      <w:r w:rsidR="008B6AA8">
        <w:t>Infection begins when the viral spike (S) glycoprotein attaches to its complementary host cell receptor. After attachment, a protease of the host cell cleaves and activates the receptor-attached spike protein. Depending on the host cell protease available, cleavage and activation allows the virus to enter the host cell by endocytosis or direct fusion of the viral envelop with the host mem</w:t>
      </w:r>
      <w:r w:rsidR="002408E1">
        <w:t>brane.</w:t>
      </w:r>
    </w:p>
    <w:p w:rsidR="008B6AA8" w:rsidRDefault="002408E1" w:rsidP="008B6AA8">
      <w:r w:rsidRPr="00641910">
        <w:rPr>
          <w:b/>
          <w:sz w:val="24"/>
        </w:rPr>
        <w:t>Replication</w:t>
      </w:r>
      <w:r w:rsidR="00054C97">
        <w:t xml:space="preserve">: </w:t>
      </w:r>
      <w:r w:rsidR="008B6AA8">
        <w:t xml:space="preserve">A number of the nonstructural proteins coalesce to form a multi-protein replicase-transcriptase complex (RTC). The main replicase-transcriptase protein is the RNA-dependent RNA polymerase (RdRp). It is directly involved in the replication and transcription of RNA from an RNA strand. </w:t>
      </w:r>
      <w:r w:rsidR="008B6AA8">
        <w:lastRenderedPageBreak/>
        <w:t>The other nonstructural proteins in the complex assist in the replication and transcription process. The exoribonuclease nonstructural protein, for instance, provides extra fidelity to replication by providing a proofreading function which the RNA-depe</w:t>
      </w:r>
      <w:r w:rsidR="00DD4D29">
        <w:t>ndent RNA polymerase lacks.</w:t>
      </w:r>
    </w:p>
    <w:p w:rsidR="002408E1" w:rsidRDefault="00054C97" w:rsidP="008B6AA8">
      <w:r w:rsidRPr="00641910">
        <w:rPr>
          <w:b/>
          <w:sz w:val="24"/>
        </w:rPr>
        <w:t>Release</w:t>
      </w:r>
      <w:r>
        <w:t xml:space="preserve">: </w:t>
      </w:r>
      <w:r w:rsidR="008B6AA8">
        <w:t>The replicated positive-sense genomic RNA becomes the genome of the progeny viruses. The mRNAs are gene transcripts of the last third of the virus genome after the initial overlapping reading frame. These mRNAs are translated by the host's ribosomes into the structural proteins and a number of accessory proteins</w:t>
      </w:r>
    </w:p>
    <w:p w:rsidR="008B6AA8" w:rsidRDefault="00054C97" w:rsidP="008B6AA8">
      <w:r w:rsidRPr="00641910">
        <w:rPr>
          <w:b/>
          <w:sz w:val="24"/>
        </w:rPr>
        <w:t>Transmission</w:t>
      </w:r>
      <w:r>
        <w:t xml:space="preserve">: </w:t>
      </w:r>
      <w:r w:rsidR="008B6AA8">
        <w:t>The interaction of the coronavirus spike protein with its complement host cell receptor is central in determining the tissue tropism, infectivity, and species range of the virus</w:t>
      </w:r>
      <w:r w:rsidR="002408E1">
        <w:t>.</w:t>
      </w:r>
      <w:r w:rsidR="008B6AA8">
        <w:t xml:space="preserve"> The SARS coronavirus, for example, infects human cells by attaching to the angiotensin-convertin</w:t>
      </w:r>
      <w:r w:rsidR="002408E1">
        <w:t>g enzyme 2 (ACE2) receptor.</w:t>
      </w:r>
    </w:p>
    <w:p w:rsidR="008B6AA8" w:rsidRDefault="00054C97" w:rsidP="008B6AA8">
      <w:r w:rsidRPr="00641910">
        <w:rPr>
          <w:b/>
          <w:sz w:val="24"/>
        </w:rPr>
        <w:t>Evolution</w:t>
      </w:r>
      <w:r>
        <w:t xml:space="preserve">: </w:t>
      </w:r>
      <w:r w:rsidR="008B6AA8">
        <w:t>The most recent common ancestor (MRCA) of all coronaviruses is estimated to have existed as recently as 8000 BCE, although some models place the common ancestor as far back as 55 million years or more, implying long term coevolution with bat and avian spec</w:t>
      </w:r>
      <w:r>
        <w:t>ies.</w:t>
      </w:r>
      <w:r w:rsidR="008B6AA8">
        <w:t xml:space="preserve"> The most recent common ancestor of the </w:t>
      </w:r>
      <w:r>
        <w:t>alpha coronavirus</w:t>
      </w:r>
      <w:r w:rsidR="008B6AA8">
        <w:t xml:space="preserve"> line has been placed at about 2400 BCE, the </w:t>
      </w:r>
      <w:r>
        <w:t>beta coronavirus</w:t>
      </w:r>
      <w:r w:rsidR="008B6AA8">
        <w:t xml:space="preserve"> line at 3300 BCE, the </w:t>
      </w:r>
      <w:r>
        <w:t>gamma coronavirus</w:t>
      </w:r>
      <w:r w:rsidR="008B6AA8">
        <w:t xml:space="preserve"> line at 2800 BCE, and the </w:t>
      </w:r>
      <w:r>
        <w:t>delta coronavirus</w:t>
      </w:r>
      <w:r w:rsidR="008B6AA8">
        <w:t xml:space="preserve"> line at about 3000 BCE. Bats and birds, as warm-blooded flying vertebrates, are an ideal natural reservoir for the coronavirus gene pool (bats the reservoir for </w:t>
      </w:r>
      <w:r>
        <w:t>alpha coronavirus</w:t>
      </w:r>
      <w:r w:rsidR="008B6AA8">
        <w:t xml:space="preserve"> and </w:t>
      </w:r>
      <w:r>
        <w:t>beta coronavirus</w:t>
      </w:r>
      <w:r w:rsidR="008B6AA8">
        <w:t xml:space="preserve"> – and birds the reservoir for </w:t>
      </w:r>
      <w:r>
        <w:t>gamma coronavirus</w:t>
      </w:r>
      <w:r w:rsidR="008B6AA8">
        <w:t xml:space="preserve"> and </w:t>
      </w:r>
      <w:r>
        <w:t>delta coronavirus</w:t>
      </w:r>
      <w:r w:rsidR="008B6AA8">
        <w:t>). The large number of host bat and avian species, and their global range, has enabled extensive evolution and diss</w:t>
      </w:r>
      <w:r>
        <w:t>emination of coronaviruses.</w:t>
      </w:r>
    </w:p>
    <w:p w:rsidR="0040726F" w:rsidRPr="0040726F" w:rsidRDefault="0040726F" w:rsidP="0040726F">
      <w:pPr>
        <w:tabs>
          <w:tab w:val="left" w:pos="1335"/>
          <w:tab w:val="center" w:pos="4680"/>
        </w:tabs>
      </w:pPr>
      <w:r>
        <w:tab/>
      </w:r>
    </w:p>
    <w:tbl>
      <w:tblPr>
        <w:tblStyle w:val="TableGrid"/>
        <w:tblW w:w="10652" w:type="dxa"/>
        <w:tblLook w:val="04A0" w:firstRow="1" w:lastRow="0" w:firstColumn="1" w:lastColumn="0" w:noHBand="0" w:noVBand="1"/>
      </w:tblPr>
      <w:tblGrid>
        <w:gridCol w:w="5326"/>
        <w:gridCol w:w="5326"/>
      </w:tblGrid>
      <w:tr w:rsidR="0040726F" w:rsidTr="00641910">
        <w:trPr>
          <w:trHeight w:val="292"/>
        </w:trPr>
        <w:tc>
          <w:tcPr>
            <w:tcW w:w="5326" w:type="dxa"/>
          </w:tcPr>
          <w:p w:rsidR="0040726F" w:rsidRPr="00641910" w:rsidRDefault="0040726F" w:rsidP="0040726F">
            <w:pPr>
              <w:tabs>
                <w:tab w:val="left" w:pos="1335"/>
                <w:tab w:val="center" w:pos="4680"/>
              </w:tabs>
              <w:rPr>
                <w:rFonts w:ascii="Algerian" w:hAnsi="Algerian"/>
                <w:b/>
                <w:sz w:val="36"/>
                <w:szCs w:val="36"/>
              </w:rPr>
            </w:pPr>
            <w:r w:rsidRPr="00641910">
              <w:rPr>
                <w:rFonts w:ascii="Algerian" w:hAnsi="Algerian"/>
                <w:b/>
                <w:sz w:val="36"/>
                <w:szCs w:val="36"/>
              </w:rPr>
              <w:t>EFFECTS OF THE LOCKDOWN</w:t>
            </w:r>
          </w:p>
        </w:tc>
        <w:tc>
          <w:tcPr>
            <w:tcW w:w="5326" w:type="dxa"/>
          </w:tcPr>
          <w:p w:rsidR="0040726F" w:rsidRPr="00641910" w:rsidRDefault="0040726F" w:rsidP="0040726F">
            <w:pPr>
              <w:tabs>
                <w:tab w:val="left" w:pos="1335"/>
                <w:tab w:val="center" w:pos="4680"/>
              </w:tabs>
              <w:rPr>
                <w:rFonts w:ascii="Algerian" w:hAnsi="Algerian"/>
                <w:b/>
                <w:sz w:val="32"/>
                <w:szCs w:val="32"/>
              </w:rPr>
            </w:pPr>
            <w:r w:rsidRPr="00641910">
              <w:rPr>
                <w:rFonts w:ascii="Algerian" w:hAnsi="Algerian"/>
                <w:b/>
                <w:sz w:val="32"/>
                <w:szCs w:val="32"/>
              </w:rPr>
              <w:t>EFFECTS OF THE RESTRICTION OF MOVEMENT ON NIGERIANS</w:t>
            </w:r>
          </w:p>
        </w:tc>
      </w:tr>
    </w:tbl>
    <w:p w:rsidR="008B6AA8" w:rsidRPr="0040726F" w:rsidRDefault="008B6AA8" w:rsidP="0040726F">
      <w:pPr>
        <w:tabs>
          <w:tab w:val="left" w:pos="1335"/>
          <w:tab w:val="center" w:pos="4680"/>
        </w:tabs>
      </w:pPr>
    </w:p>
    <w:tbl>
      <w:tblPr>
        <w:tblStyle w:val="TableGrid"/>
        <w:tblW w:w="10578" w:type="dxa"/>
        <w:tblLook w:val="04A0" w:firstRow="1" w:lastRow="0" w:firstColumn="1" w:lastColumn="0" w:noHBand="0" w:noVBand="1"/>
      </w:tblPr>
      <w:tblGrid>
        <w:gridCol w:w="5289"/>
        <w:gridCol w:w="5289"/>
      </w:tblGrid>
      <w:tr w:rsidR="00CA6BFD" w:rsidTr="0040726F">
        <w:trPr>
          <w:trHeight w:val="580"/>
        </w:trPr>
        <w:tc>
          <w:tcPr>
            <w:tcW w:w="5289" w:type="dxa"/>
          </w:tcPr>
          <w:p w:rsidR="00CA6BFD" w:rsidRDefault="00CA6BFD" w:rsidP="00CA6BFD">
            <w:pPr>
              <w:pStyle w:val="ListParagraph"/>
              <w:numPr>
                <w:ilvl w:val="0"/>
                <w:numId w:val="1"/>
              </w:numPr>
            </w:pPr>
            <w:r>
              <w:t>Families</w:t>
            </w:r>
            <w:r w:rsidRPr="00CA6BFD">
              <w:t xml:space="preserve"> stick together to fight their</w:t>
            </w:r>
            <w:r>
              <w:t xml:space="preserve"> unseen foe and fears together.</w:t>
            </w:r>
          </w:p>
          <w:p w:rsidR="00CA6BFD" w:rsidRDefault="00CA6BFD" w:rsidP="00CA6BFD">
            <w:pPr>
              <w:pStyle w:val="ListParagraph"/>
            </w:pPr>
          </w:p>
        </w:tc>
        <w:tc>
          <w:tcPr>
            <w:tcW w:w="5289" w:type="dxa"/>
          </w:tcPr>
          <w:p w:rsidR="00CA6BFD" w:rsidRDefault="0040726F" w:rsidP="008B6AA8">
            <w:r>
              <w:t>Inadequacy of food supply.</w:t>
            </w:r>
          </w:p>
        </w:tc>
      </w:tr>
      <w:tr w:rsidR="00CA6BFD" w:rsidTr="0040726F">
        <w:trPr>
          <w:trHeight w:val="985"/>
        </w:trPr>
        <w:tc>
          <w:tcPr>
            <w:tcW w:w="5289" w:type="dxa"/>
          </w:tcPr>
          <w:p w:rsidR="00CA6BFD" w:rsidRDefault="00CA6BFD" w:rsidP="00CA6BFD">
            <w:pPr>
              <w:pStyle w:val="ListParagraph"/>
              <w:numPr>
                <w:ilvl w:val="0"/>
                <w:numId w:val="1"/>
              </w:numPr>
            </w:pPr>
            <w:r w:rsidRPr="00CA6BFD">
              <w:t>Families who were hith</w:t>
            </w:r>
            <w:r>
              <w:t>erto separated by career</w:t>
            </w:r>
            <w:r w:rsidRPr="00CA6BFD">
              <w:t xml:space="preserve"> engagements all found their way home, or, when home was too far apart, created a new social milieu that often involved an intimate partner.</w:t>
            </w:r>
          </w:p>
        </w:tc>
        <w:tc>
          <w:tcPr>
            <w:tcW w:w="5289" w:type="dxa"/>
          </w:tcPr>
          <w:p w:rsidR="00CA6BFD" w:rsidRDefault="0040726F" w:rsidP="008B6AA8">
            <w:r>
              <w:t>Theft/Armed robbery.</w:t>
            </w:r>
          </w:p>
        </w:tc>
      </w:tr>
      <w:tr w:rsidR="00CA6BFD" w:rsidTr="0040726F">
        <w:trPr>
          <w:trHeight w:val="580"/>
        </w:trPr>
        <w:tc>
          <w:tcPr>
            <w:tcW w:w="5289" w:type="dxa"/>
          </w:tcPr>
          <w:p w:rsidR="00CA6BFD" w:rsidRDefault="00CA6BFD" w:rsidP="00CA6BFD">
            <w:pPr>
              <w:pStyle w:val="ListParagraph"/>
              <w:numPr>
                <w:ilvl w:val="0"/>
                <w:numId w:val="1"/>
              </w:numPr>
            </w:pPr>
            <w:r>
              <w:t>R</w:t>
            </w:r>
            <w:r w:rsidRPr="00CA6BFD">
              <w:t>educes spending on enhancing the economic potential of each child through education and health.</w:t>
            </w:r>
          </w:p>
        </w:tc>
        <w:tc>
          <w:tcPr>
            <w:tcW w:w="5289" w:type="dxa"/>
          </w:tcPr>
          <w:p w:rsidR="00CA6BFD" w:rsidRDefault="0040726F" w:rsidP="008B6AA8">
            <w:r>
              <w:t>Unruly behavior of citizens who are protesting the restriction.</w:t>
            </w:r>
          </w:p>
        </w:tc>
      </w:tr>
    </w:tbl>
    <w:p w:rsidR="00CA6BFD" w:rsidRDefault="00CA6BFD" w:rsidP="008B6AA8"/>
    <w:sectPr w:rsidR="00CA6BF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07C" w:rsidRDefault="00AE607C" w:rsidP="002408E1">
      <w:pPr>
        <w:spacing w:after="0" w:line="240" w:lineRule="auto"/>
      </w:pPr>
      <w:r>
        <w:separator/>
      </w:r>
    </w:p>
  </w:endnote>
  <w:endnote w:type="continuationSeparator" w:id="0">
    <w:p w:rsidR="00AE607C" w:rsidRDefault="00AE607C" w:rsidP="0024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07C" w:rsidRDefault="00AE607C" w:rsidP="002408E1">
      <w:pPr>
        <w:spacing w:after="0" w:line="240" w:lineRule="auto"/>
      </w:pPr>
      <w:r>
        <w:separator/>
      </w:r>
    </w:p>
  </w:footnote>
  <w:footnote w:type="continuationSeparator" w:id="0">
    <w:p w:rsidR="00AE607C" w:rsidRDefault="00AE607C" w:rsidP="00240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D3C7A"/>
    <w:multiLevelType w:val="hybridMultilevel"/>
    <w:tmpl w:val="0770B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58"/>
    <w:rsid w:val="00054C97"/>
    <w:rsid w:val="002408E1"/>
    <w:rsid w:val="0040726F"/>
    <w:rsid w:val="00641910"/>
    <w:rsid w:val="007E4B58"/>
    <w:rsid w:val="008B6AA8"/>
    <w:rsid w:val="00911F3C"/>
    <w:rsid w:val="00AE607C"/>
    <w:rsid w:val="00CA6BFD"/>
    <w:rsid w:val="00DD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B6CEA-79DC-4A15-A9CC-A2C5AA55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8E1"/>
  </w:style>
  <w:style w:type="paragraph" w:styleId="Footer">
    <w:name w:val="footer"/>
    <w:basedOn w:val="Normal"/>
    <w:link w:val="FooterChar"/>
    <w:uiPriority w:val="99"/>
    <w:unhideWhenUsed/>
    <w:rsid w:val="0024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8E1"/>
  </w:style>
  <w:style w:type="paragraph" w:styleId="ListParagraph">
    <w:name w:val="List Paragraph"/>
    <w:basedOn w:val="Normal"/>
    <w:uiPriority w:val="34"/>
    <w:qFormat/>
    <w:rsid w:val="00CA6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2020-04-15T19:38:00Z</dcterms:created>
  <dcterms:modified xsi:type="dcterms:W3CDTF">2020-04-15T21:06:00Z</dcterms:modified>
</cp:coreProperties>
</file>