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NAME:AGBOADE RICHARD OLUWATOBI</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MATRIC NO: 19/LAW01/015</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COURSE: law 102</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DEPARTMENT: LAW </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COLLEGE: LAW</w:t>
      </w:r>
    </w:p>
    <w:p>
      <w:pPr>
        <w:rPr>
          <w:rFonts w:hint="default" w:ascii="Times New Roman" w:hAnsi="Times New Roman" w:eastAsia="SimSun" w:cs="Times New Roman"/>
          <w:sz w:val="24"/>
          <w:szCs w:val="24"/>
          <w:u w:val="single"/>
          <w:lang w:val="en-US"/>
        </w:rPr>
      </w:pPr>
    </w:p>
    <w:p>
      <w:pPr>
        <w:rPr>
          <w:rFonts w:hint="default" w:ascii="Times New Roman" w:hAnsi="Times New Roman" w:eastAsia="SimSun" w:cs="Times New Roman"/>
          <w:sz w:val="28"/>
          <w:szCs w:val="28"/>
          <w:u w:val="single"/>
          <w:lang w:val="en-US"/>
        </w:rPr>
      </w:pPr>
      <w:r>
        <w:rPr>
          <w:rFonts w:hint="default" w:ascii="Times New Roman" w:hAnsi="Times New Roman" w:eastAsia="SimSun" w:cs="Times New Roman"/>
          <w:sz w:val="28"/>
          <w:szCs w:val="28"/>
          <w:u w:val="single"/>
          <w:lang w:val="en-US"/>
        </w:rPr>
        <w:t>Secondary sources of law</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Secondary sources of law are the sources of law that do not carry a dominant legal weight and binding effect. The legal authorities contain in these kind of sources are diluted and persuasive which are not binding on any court of law.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includes:</w:t>
      </w:r>
    </w:p>
    <w:p>
      <w:pPr>
        <w:numPr>
          <w:ilvl w:val="0"/>
          <w:numId w:val="1"/>
        </w:numPr>
        <w:ind w:left="420" w:leftChars="0" w:hanging="42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decisions of courts of foreign countries</w:t>
      </w:r>
    </w:p>
    <w:p>
      <w:pPr>
        <w:numPr>
          <w:ilvl w:val="0"/>
          <w:numId w:val="1"/>
        </w:numPr>
        <w:tabs>
          <w:tab w:val="clear" w:pos="420"/>
        </w:tabs>
        <w:ind w:left="420" w:leftChars="0" w:hanging="42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International conventions, treaties, and resolutions of international bodies; </w:t>
      </w:r>
    </w:p>
    <w:p>
      <w:pPr>
        <w:numPr>
          <w:ilvl w:val="0"/>
          <w:numId w:val="1"/>
        </w:numPr>
        <w:tabs>
          <w:tab w:val="clear" w:pos="420"/>
        </w:tabs>
        <w:ind w:left="420" w:leftChars="0" w:hanging="42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Statements or opinions of jurists and learned authors contained in law textbooks, journal, periodicals, dictionaries, letters, speeches, and interviews; </w:t>
      </w:r>
    </w:p>
    <w:p>
      <w:pPr>
        <w:numPr>
          <w:ilvl w:val="0"/>
          <w:numId w:val="1"/>
        </w:numPr>
        <w:tabs>
          <w:tab w:val="clear" w:pos="420"/>
        </w:tabs>
        <w:ind w:left="420" w:leftChars="0" w:hanging="42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legal opinions contained in nullified </w:t>
      </w:r>
      <w:r>
        <w:rPr>
          <w:rFonts w:hint="default" w:ascii="Times New Roman" w:hAnsi="Times New Roman" w:eastAsia="SimSun" w:cs="Times New Roman"/>
          <w:sz w:val="24"/>
          <w:szCs w:val="24"/>
          <w:lang w:val="en-US"/>
        </w:rPr>
        <w:t>judgments</w:t>
      </w:r>
      <w:r>
        <w:rPr>
          <w:rFonts w:hint="default" w:ascii="Times New Roman" w:hAnsi="Times New Roman" w:eastAsia="SimSun" w:cs="Times New Roman"/>
          <w:sz w:val="24"/>
          <w:szCs w:val="24"/>
        </w:rPr>
        <w:t>.</w:t>
      </w:r>
    </w:p>
    <w:p>
      <w:pPr>
        <w:numPr>
          <w:numId w:val="0"/>
        </w:numPr>
        <w:rPr>
          <w:rFonts w:hint="default" w:ascii="Times New Roman" w:hAnsi="Times New Roman" w:eastAsia="SimSun" w:cs="Times New Roman"/>
          <w:sz w:val="24"/>
          <w:szCs w:val="24"/>
        </w:rPr>
      </w:pPr>
    </w:p>
    <w:p>
      <w:pPr>
        <w:numPr>
          <w:ilvl w:val="0"/>
          <w:numId w:val="2"/>
        </w:numPr>
        <w:tabs>
          <w:tab w:val="clear" w:pos="425"/>
        </w:tabs>
        <w:ind w:left="425" w:leftChars="0" w:hanging="425"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Decisions of courts of foreign countries:</w:t>
      </w:r>
    </w:p>
    <w:p>
      <w:pPr>
        <w:numPr>
          <w:numId w:val="0"/>
        </w:numPr>
        <w:ind w:left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The decisions of court cases of foreign countries is a secondary sources of law in Nigeria. As these courts makes his decision on a case it has its effect on Nigerian laws , in a case where there is the same scenario. This secondary source of law is a good means of creating laws in Nigeria.</w:t>
      </w:r>
    </w:p>
    <w:p>
      <w:pPr>
        <w:numPr>
          <w:numId w:val="0"/>
        </w:numPr>
        <w:ind w:leftChars="0"/>
        <w:rPr>
          <w:rFonts w:hint="default" w:ascii="Times New Roman" w:hAnsi="Times New Roman" w:eastAsia="SimSun" w:cs="Times New Roman"/>
          <w:sz w:val="24"/>
          <w:szCs w:val="24"/>
          <w:lang w:val="en-US"/>
        </w:rPr>
      </w:pPr>
    </w:p>
    <w:p>
      <w:pPr>
        <w:numPr>
          <w:ilvl w:val="0"/>
          <w:numId w:val="3"/>
        </w:numPr>
        <w:ind w:left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International conventions, treaties, and resolutions of international bodies; </w:t>
      </w:r>
    </w:p>
    <w:p>
      <w:pPr>
        <w:numPr>
          <w:numId w:val="0"/>
        </w:numPr>
        <w:ind w:leftChars="0"/>
        <w:rPr>
          <w:rFonts w:hint="default" w:ascii="Times New Roman" w:hAnsi="Times New Roman" w:eastAsia="SimSun" w:cs="Times New Roman"/>
          <w:i w:val="0"/>
          <w:caps w:val="0"/>
          <w:color w:val="222222"/>
          <w:spacing w:val="0"/>
          <w:sz w:val="24"/>
          <w:szCs w:val="24"/>
          <w:shd w:val="clear" w:fill="FFFFFF"/>
          <w:lang w:val="en-US"/>
        </w:rPr>
      </w:pPr>
      <w:r>
        <w:rPr>
          <w:rFonts w:hint="default" w:ascii="Times New Roman" w:hAnsi="Times New Roman" w:eastAsia="SimSun" w:cs="Times New Roman"/>
          <w:b/>
          <w:i w:val="0"/>
          <w:caps w:val="0"/>
          <w:color w:val="222222"/>
          <w:spacing w:val="0"/>
          <w:sz w:val="24"/>
          <w:szCs w:val="24"/>
          <w:shd w:val="clear" w:fill="FFFFFF"/>
        </w:rPr>
        <w:t>International conventions</w:t>
      </w:r>
      <w:r>
        <w:rPr>
          <w:rFonts w:hint="default" w:ascii="Times New Roman" w:hAnsi="Times New Roman" w:eastAsia="SimSun" w:cs="Times New Roman"/>
          <w:i w:val="0"/>
          <w:caps w:val="0"/>
          <w:color w:val="222222"/>
          <w:spacing w:val="0"/>
          <w:sz w:val="24"/>
          <w:szCs w:val="24"/>
          <w:shd w:val="clear" w:fill="FFFFFF"/>
        </w:rPr>
        <w:t> are </w:t>
      </w:r>
      <w:r>
        <w:rPr>
          <w:rFonts w:hint="default" w:ascii="Times New Roman" w:hAnsi="Times New Roman" w:eastAsia="SimSun" w:cs="Times New Roman"/>
          <w:b/>
          <w:i w:val="0"/>
          <w:caps w:val="0"/>
          <w:color w:val="222222"/>
          <w:spacing w:val="0"/>
          <w:sz w:val="24"/>
          <w:szCs w:val="24"/>
          <w:shd w:val="clear" w:fill="FFFFFF"/>
        </w:rPr>
        <w:t>treaties</w:t>
      </w:r>
      <w:r>
        <w:rPr>
          <w:rFonts w:hint="default" w:ascii="Times New Roman" w:hAnsi="Times New Roman" w:eastAsia="SimSun" w:cs="Times New Roman"/>
          <w:i w:val="0"/>
          <w:caps w:val="0"/>
          <w:color w:val="222222"/>
          <w:spacing w:val="0"/>
          <w:sz w:val="24"/>
          <w:szCs w:val="24"/>
          <w:shd w:val="clear" w:fill="FFFFFF"/>
        </w:rPr>
        <w:t> or agreements between countries. "</w:t>
      </w:r>
      <w:r>
        <w:rPr>
          <w:rFonts w:hint="default" w:ascii="Times New Roman" w:hAnsi="Times New Roman" w:eastAsia="SimSun" w:cs="Times New Roman"/>
          <w:b/>
          <w:i w:val="0"/>
          <w:caps w:val="0"/>
          <w:color w:val="222222"/>
          <w:spacing w:val="0"/>
          <w:sz w:val="24"/>
          <w:szCs w:val="24"/>
          <w:shd w:val="clear" w:fill="FFFFFF"/>
        </w:rPr>
        <w:t>International convention</w:t>
      </w:r>
      <w:r>
        <w:rPr>
          <w:rFonts w:hint="default" w:ascii="Times New Roman" w:hAnsi="Times New Roman" w:eastAsia="SimSun" w:cs="Times New Roman"/>
          <w:i w:val="0"/>
          <w:caps w:val="0"/>
          <w:color w:val="222222"/>
          <w:spacing w:val="0"/>
          <w:sz w:val="24"/>
          <w:szCs w:val="24"/>
          <w:shd w:val="clear" w:fill="FFFFFF"/>
        </w:rPr>
        <w:t>" is often used interchangeably with terms like "</w:t>
      </w:r>
      <w:r>
        <w:rPr>
          <w:rFonts w:hint="default" w:ascii="Times New Roman" w:hAnsi="Times New Roman" w:eastAsia="SimSun" w:cs="Times New Roman"/>
          <w:b/>
          <w:i w:val="0"/>
          <w:caps w:val="0"/>
          <w:color w:val="222222"/>
          <w:spacing w:val="0"/>
          <w:sz w:val="24"/>
          <w:szCs w:val="24"/>
          <w:shd w:val="clear" w:fill="FFFFFF"/>
        </w:rPr>
        <w:t>international treaty</w:t>
      </w:r>
      <w:r>
        <w:rPr>
          <w:rFonts w:hint="default" w:ascii="Times New Roman" w:hAnsi="Times New Roman" w:eastAsia="SimSun" w:cs="Times New Roman"/>
          <w:i w:val="0"/>
          <w:caps w:val="0"/>
          <w:color w:val="222222"/>
          <w:spacing w:val="0"/>
          <w:sz w:val="24"/>
          <w:szCs w:val="24"/>
          <w:shd w:val="clear" w:fill="FFFFFF"/>
        </w:rPr>
        <w:t>," "</w:t>
      </w:r>
      <w:r>
        <w:rPr>
          <w:rFonts w:hint="default" w:ascii="Times New Roman" w:hAnsi="Times New Roman" w:eastAsia="SimSun" w:cs="Times New Roman"/>
          <w:b/>
          <w:i w:val="0"/>
          <w:caps w:val="0"/>
          <w:color w:val="222222"/>
          <w:spacing w:val="0"/>
          <w:sz w:val="24"/>
          <w:szCs w:val="24"/>
          <w:shd w:val="clear" w:fill="FFFFFF"/>
        </w:rPr>
        <w:t>international</w:t>
      </w:r>
      <w:r>
        <w:rPr>
          <w:rFonts w:hint="default" w:ascii="Times New Roman" w:hAnsi="Times New Roman" w:eastAsia="SimSun" w:cs="Times New Roman"/>
          <w:i w:val="0"/>
          <w:caps w:val="0"/>
          <w:color w:val="222222"/>
          <w:spacing w:val="0"/>
          <w:sz w:val="24"/>
          <w:szCs w:val="24"/>
          <w:shd w:val="clear" w:fill="FFFFFF"/>
        </w:rPr>
        <w:t> agreement," "compact," or "contract between states."</w:t>
      </w:r>
      <w:r>
        <w:rPr>
          <w:rFonts w:hint="default" w:ascii="Times New Roman" w:hAnsi="Times New Roman" w:eastAsia="SimSun" w:cs="Times New Roman"/>
          <w:i w:val="0"/>
          <w:caps w:val="0"/>
          <w:color w:val="222222"/>
          <w:spacing w:val="0"/>
          <w:sz w:val="24"/>
          <w:szCs w:val="24"/>
          <w:shd w:val="clear" w:fill="FFFFFF"/>
          <w:lang w:val="en-US"/>
        </w:rPr>
        <w:t xml:space="preserve"> this agreement or treaty between the states allows or is a good secondary source of law in Nigeria. </w:t>
      </w:r>
    </w:p>
    <w:p>
      <w:pPr>
        <w:numPr>
          <w:numId w:val="0"/>
        </w:numPr>
        <w:ind w:leftChars="0"/>
        <w:rPr>
          <w:rFonts w:hint="default" w:ascii="Times New Roman" w:hAnsi="Times New Roman" w:eastAsia="SimSun" w:cs="Times New Roman"/>
          <w:sz w:val="24"/>
          <w:szCs w:val="24"/>
        </w:rPr>
      </w:pPr>
    </w:p>
    <w:p>
      <w:pPr>
        <w:numPr>
          <w:ilvl w:val="0"/>
          <w:numId w:val="3"/>
        </w:numPr>
        <w:ind w:left="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Statements or opinions of jurists and learned authors contained in law textbooks, journal, periodicals, dictionaries, letters, speeches, and interviews</w:t>
      </w:r>
      <w:r>
        <w:rPr>
          <w:rFonts w:hint="default" w:ascii="Times New Roman" w:hAnsi="Times New Roman" w:eastAsia="SimSun" w:cs="Times New Roman"/>
          <w:sz w:val="24"/>
          <w:szCs w:val="24"/>
          <w:lang w:val="en-US"/>
        </w:rPr>
        <w:t>. Which is a good means of secondary source in Nigeria. These books written by the authors, allows for the influence of the Nigerian laws.</w:t>
      </w:r>
    </w:p>
    <w:p>
      <w:pPr>
        <w:numPr>
          <w:numId w:val="0"/>
        </w:numPr>
        <w:ind w:leftChars="0"/>
        <w:rPr>
          <w:rFonts w:hint="default" w:ascii="Times New Roman" w:hAnsi="Times New Roman" w:eastAsia="SimSun" w:cs="Times New Roman"/>
          <w:sz w:val="24"/>
          <w:szCs w:val="24"/>
        </w:rPr>
      </w:pPr>
    </w:p>
    <w:p>
      <w:pPr>
        <w:numPr>
          <w:ilvl w:val="0"/>
          <w:numId w:val="3"/>
        </w:numPr>
        <w:ind w:left="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legal opinions contained in nullified </w:t>
      </w:r>
      <w:r>
        <w:rPr>
          <w:rFonts w:hint="default" w:ascii="Times New Roman" w:hAnsi="Times New Roman" w:eastAsia="SimSun" w:cs="Times New Roman"/>
          <w:sz w:val="24"/>
          <w:szCs w:val="24"/>
          <w:lang w:val="en-US"/>
        </w:rPr>
        <w:t>judgments</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w:t>
      </w:r>
    </w:p>
    <w:p>
      <w:pPr>
        <w:numPr>
          <w:numId w:val="0"/>
        </w:numPr>
        <w:ind w:left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A nullified judgement means that the case does not have any value because of no legal force or proof for such case.. it can cause and affect the Nigerian law and also lead to the creation of more laws in Nigeria.</w:t>
      </w:r>
    </w:p>
    <w:p>
      <w:pPr>
        <w:numPr>
          <w:numId w:val="0"/>
        </w:numPr>
        <w:ind w:leftChars="0"/>
        <w:rPr>
          <w:rFonts w:hint="default" w:ascii="Times New Roman" w:hAnsi="Times New Roman" w:eastAsia="SimSun" w:cs="Times New Roman"/>
          <w:sz w:val="24"/>
          <w:szCs w:val="24"/>
          <w:lang w:val="en-US"/>
        </w:rPr>
      </w:pPr>
    </w:p>
    <w:p>
      <w:pPr>
        <w:numPr>
          <w:numId w:val="0"/>
        </w:numPr>
        <w:ind w:leftChars="0"/>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u w:val="single"/>
        </w:rPr>
        <w:t>Secondary Information Resources in Nigerian Law Libraries</w:t>
      </w:r>
      <w:r>
        <w:rPr>
          <w:rFonts w:hint="default" w:ascii="Times New Roman" w:hAnsi="Times New Roman" w:eastAsia="SimSun" w:cs="Times New Roman"/>
          <w:sz w:val="24"/>
          <w:szCs w:val="24"/>
        </w:rPr>
        <w:t xml:space="preserve"> Secondary information sources are the materials that contain information derived or extracted from the primary sources of law and have undergone diluted processes or certain alterations. Akinyemi (2017) defines secondary information sources as the information resources extracted from the primary sources after they have been manipulated, diluted and rearranged. They include:</w:t>
      </w:r>
    </w:p>
    <w:p>
      <w:pPr>
        <w:numPr>
          <w:numId w:val="0"/>
        </w:numPr>
        <w:ind w:left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Text books (of different practice areas and others)</w:t>
      </w:r>
    </w:p>
    <w:p>
      <w:pPr>
        <w:numPr>
          <w:numId w:val="0"/>
        </w:numPr>
        <w:ind w:left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Journals /Law reviews</w:t>
      </w:r>
    </w:p>
    <w:p>
      <w:pPr>
        <w:numPr>
          <w:numId w:val="0"/>
        </w:numPr>
        <w:ind w:left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Law digests Court forms (e.g. Atkins Court Form)</w:t>
      </w:r>
    </w:p>
    <w:p>
      <w:pPr>
        <w:numPr>
          <w:numId w:val="0"/>
        </w:numPr>
        <w:ind w:left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Practice notes Magazines</w:t>
      </w:r>
    </w:p>
    <w:p>
      <w:pPr>
        <w:numPr>
          <w:numId w:val="0"/>
        </w:numPr>
        <w:ind w:left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Encyclopaedias</w:t>
      </w:r>
    </w:p>
    <w:p>
      <w:pPr>
        <w:numPr>
          <w:numId w:val="0"/>
        </w:numPr>
        <w:ind w:left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Law dictionaries, </w:t>
      </w:r>
    </w:p>
    <w:p>
      <w:pPr>
        <w:numPr>
          <w:numId w:val="0"/>
        </w:numPr>
        <w:ind w:left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and Othe</w:t>
      </w:r>
      <w:r>
        <w:rPr>
          <w:rFonts w:ascii="SimSun" w:hAnsi="SimSun" w:eastAsia="SimSun" w:cs="SimSun"/>
          <w:sz w:val="24"/>
          <w:szCs w:val="24"/>
        </w:rPr>
        <w:t>rs</w:t>
      </w:r>
    </w:p>
    <w:p>
      <w:pPr>
        <w:numPr>
          <w:numId w:val="0"/>
        </w:numPr>
        <w:ind w:leftChars="0"/>
        <w:rPr>
          <w:rFonts w:hint="default" w:ascii="Times New Roman" w:hAnsi="Times New Roman" w:eastAsia="SimSun" w:cs="Times New Roman"/>
          <w:i w:val="0"/>
          <w:caps w:val="0"/>
          <w:color w:val="222222"/>
          <w:spacing w:val="0"/>
          <w:sz w:val="24"/>
          <w:szCs w:val="24"/>
          <w:shd w:val="clear" w:fill="FFFFFF"/>
          <w:lang w:val="en-US"/>
        </w:rPr>
      </w:pPr>
    </w:p>
    <w:p>
      <w:pPr>
        <w:numPr>
          <w:numId w:val="0"/>
        </w:numPr>
        <w:ind w:leftChars="0"/>
        <w:rPr>
          <w:rFonts w:hint="default" w:ascii="Times New Roman" w:hAnsi="Times New Roman" w:eastAsia="SimSun" w:cs="Times New Roman"/>
          <w:sz w:val="24"/>
          <w:szCs w:val="24"/>
          <w:lang w:val="en-US"/>
        </w:rPr>
      </w:pPr>
    </w:p>
    <w:p>
      <w:pPr>
        <w:numPr>
          <w:numId w:val="0"/>
        </w:numPr>
        <w:ind w:leftChars="0"/>
        <w:rPr>
          <w:rFonts w:hint="default" w:ascii="Times New Roman" w:hAnsi="Times New Roman" w:eastAsia="SimSun" w:cs="Times New Roman"/>
          <w:sz w:val="24"/>
          <w:szCs w:val="24"/>
          <w:lang w:val="en-US"/>
        </w:rPr>
      </w:pPr>
      <w:bookmarkStart w:id="0" w:name="_GoBack"/>
      <w:bookmarkEnd w:id="0"/>
    </w:p>
    <w:p>
      <w:pPr>
        <w:numPr>
          <w:numId w:val="0"/>
        </w:numPr>
        <w:ind w:leftChars="0"/>
        <w:rPr>
          <w:rFonts w:hint="default" w:ascii="Times New Roman" w:hAnsi="Times New Roman" w:eastAsia="SimSu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Black">
    <w:panose1 w:val="020B0A04020102020204"/>
    <w:charset w:val="00"/>
    <w:family w:val="auto"/>
    <w:pitch w:val="default"/>
    <w:sig w:usb0="A00002AF" w:usb1="400078FB" w:usb2="00000000" w:usb3="00000000" w:csb0="6000009F" w:csb1="DFD70000"/>
  </w:font>
  <w:font w:name="Calibri Light">
    <w:panose1 w:val="020F0302020204030204"/>
    <w:charset w:val="00"/>
    <w:family w:val="auto"/>
    <w:pitch w:val="default"/>
    <w:sig w:usb0="E4002EFF" w:usb1="C000247B" w:usb2="00000009" w:usb3="00000000" w:csb0="200001FF" w:csb1="00000000"/>
  </w:font>
  <w:font w:name="Microsoft Sans Serif">
    <w:panose1 w:val="020B0604020202020204"/>
    <w:charset w:val="00"/>
    <w:family w:val="auto"/>
    <w:pitch w:val="default"/>
    <w:sig w:usb0="E5002EFF" w:usb1="C000605B" w:usb2="00000029" w:usb3="00000000" w:csb0="200101FF" w:csb1="2028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MT Extra">
    <w:panose1 w:val="05050102010205020202"/>
    <w:charset w:val="00"/>
    <w:family w:val="auto"/>
    <w:pitch w:val="default"/>
    <w:sig w:usb0="80000000" w:usb1="00000000" w:usb2="00000000" w:usb3="00000000" w:csb0="00000000" w:csb1="00000000"/>
  </w:font>
  <w:font w:name="Myanmar Text">
    <w:panose1 w:val="020B0502040204020203"/>
    <w:charset w:val="00"/>
    <w:family w:val="auto"/>
    <w:pitch w:val="default"/>
    <w:sig w:usb0="80000003" w:usb1="00000000" w:usb2="00000400" w:usb3="00000000" w:csb0="00000001" w:csb1="00000000"/>
  </w:font>
  <w:font w:name="Nirmala UI">
    <w:panose1 w:val="020B0502040204020203"/>
    <w:charset w:val="00"/>
    <w:family w:val="auto"/>
    <w:pitch w:val="default"/>
    <w:sig w:usb0="80FF8023" w:usb1="0000004A" w:usb2="00000200" w:usb3="00040000" w:csb0="00000001" w:csb1="00000000"/>
  </w:font>
  <w:font w:name="Nirmala UI Semilight">
    <w:panose1 w:val="020B0402040204020203"/>
    <w:charset w:val="00"/>
    <w:family w:val="auto"/>
    <w:pitch w:val="default"/>
    <w:sig w:usb0="80FF8023" w:usb1="0000004A" w:usb2="00000200" w:usb3="00040000" w:csb0="00000001" w:csb1="00000000"/>
  </w:font>
  <w:font w:name="Palatino Linotype">
    <w:panose1 w:val="02040502050505030304"/>
    <w:charset w:val="00"/>
    <w:family w:val="auto"/>
    <w:pitch w:val="default"/>
    <w:sig w:usb0="E0000287" w:usb1="40000013" w:usb2="00000000" w:usb3="00000000" w:csb0="2000019F" w:csb1="00000000"/>
  </w:font>
  <w:font w:name="Segoe MDL2 Assets">
    <w:panose1 w:val="050A0102010101010101"/>
    <w:charset w:val="00"/>
    <w:family w:val="auto"/>
    <w:pitch w:val="default"/>
    <w:sig w:usb0="00000000" w:usb1="1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Microsoft Himalaya">
    <w:panose1 w:val="01010100010101010101"/>
    <w:charset w:val="00"/>
    <w:family w:val="auto"/>
    <w:pitch w:val="default"/>
    <w:sig w:usb0="80000003" w:usb1="00010000" w:usb2="00000040" w:usb3="00000000" w:csb0="00000001" w:csb1="00000000"/>
  </w:font>
  <w:font w:name="Marlett">
    <w:panose1 w:val="00000000000000000000"/>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D52A56"/>
    <w:multiLevelType w:val="singleLevel"/>
    <w:tmpl w:val="BCD52A5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E2CDB55B"/>
    <w:multiLevelType w:val="singleLevel"/>
    <w:tmpl w:val="E2CDB55B"/>
    <w:lvl w:ilvl="0" w:tentative="0">
      <w:start w:val="2"/>
      <w:numFmt w:val="decimal"/>
      <w:suff w:val="space"/>
      <w:lvlText w:val="%1)"/>
      <w:lvlJc w:val="left"/>
    </w:lvl>
  </w:abstractNum>
  <w:abstractNum w:abstractNumId="2">
    <w:nsid w:val="6F56A36E"/>
    <w:multiLevelType w:val="singleLevel"/>
    <w:tmpl w:val="6F56A36E"/>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336F0"/>
    <w:rsid w:val="0D164DE4"/>
    <w:rsid w:val="0E433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2020-04-15T20:44:00Z</dcterms:created>
  <dc:creator>user</dc:creator>
  <cp:lastModifiedBy>user</cp:lastModifiedBy>
  <dcterms:modified xsi:type="dcterms:W3CDTF">2020-04-15T22:02:54Z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