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A7" w:rsidRPr="00DA49BA" w:rsidRDefault="00F67E5A" w:rsidP="00DA49BA">
      <w:pPr>
        <w:ind w:left="30"/>
        <w:rPr>
          <w:rFonts w:ascii="Times New Roman" w:hAnsi="Times New Roman" w:cs="Times New Roman"/>
          <w:b/>
          <w:sz w:val="24"/>
          <w:szCs w:val="24"/>
        </w:rPr>
      </w:pPr>
      <w:r w:rsidRPr="00DA49BA">
        <w:rPr>
          <w:rFonts w:ascii="Times New Roman" w:hAnsi="Times New Roman" w:cs="Times New Roman"/>
          <w:b/>
          <w:sz w:val="24"/>
          <w:szCs w:val="24"/>
        </w:rPr>
        <w:t>NA</w:t>
      </w:r>
      <w:r w:rsidR="0092172C">
        <w:rPr>
          <w:rFonts w:ascii="Times New Roman" w:hAnsi="Times New Roman" w:cs="Times New Roman"/>
          <w:b/>
          <w:sz w:val="24"/>
          <w:szCs w:val="24"/>
        </w:rPr>
        <w:t>ME: BAKARE SOPEFOLUWA SAMUEL</w:t>
      </w:r>
    </w:p>
    <w:p w:rsidR="00FF02A7" w:rsidRPr="00DA49BA" w:rsidRDefault="0092172C" w:rsidP="00DA49BA">
      <w:pPr>
        <w:ind w:left="30"/>
        <w:rPr>
          <w:rFonts w:ascii="Times New Roman" w:hAnsi="Times New Roman" w:cs="Times New Roman"/>
          <w:b/>
          <w:sz w:val="24"/>
          <w:szCs w:val="24"/>
        </w:rPr>
      </w:pPr>
      <w:r>
        <w:rPr>
          <w:rFonts w:ascii="Times New Roman" w:hAnsi="Times New Roman" w:cs="Times New Roman"/>
          <w:b/>
          <w:sz w:val="24"/>
          <w:szCs w:val="24"/>
        </w:rPr>
        <w:t>MATRIC NUMBER: 16/SMS02/016</w:t>
      </w:r>
    </w:p>
    <w:p w:rsidR="00FF02A7" w:rsidRPr="00DA49BA" w:rsidRDefault="00F67E5A" w:rsidP="00DA49BA">
      <w:pPr>
        <w:ind w:left="30"/>
        <w:rPr>
          <w:rFonts w:ascii="Times New Roman" w:hAnsi="Times New Roman" w:cs="Times New Roman"/>
          <w:b/>
          <w:sz w:val="24"/>
          <w:szCs w:val="24"/>
        </w:rPr>
      </w:pPr>
      <w:r w:rsidRPr="00DA49BA">
        <w:rPr>
          <w:rFonts w:ascii="Times New Roman" w:hAnsi="Times New Roman" w:cs="Times New Roman"/>
          <w:b/>
          <w:sz w:val="24"/>
          <w:szCs w:val="24"/>
        </w:rPr>
        <w:t>COURSE CODE: ACC406</w:t>
      </w:r>
    </w:p>
    <w:p w:rsidR="00F67E5A" w:rsidRPr="00DA49BA" w:rsidRDefault="00F67E5A" w:rsidP="00DA49BA">
      <w:pPr>
        <w:ind w:left="30"/>
        <w:rPr>
          <w:rFonts w:ascii="Times New Roman" w:hAnsi="Times New Roman" w:cs="Times New Roman"/>
          <w:b/>
          <w:sz w:val="24"/>
          <w:szCs w:val="24"/>
        </w:rPr>
      </w:pPr>
      <w:r w:rsidRPr="00DA49BA">
        <w:rPr>
          <w:rFonts w:ascii="Times New Roman" w:hAnsi="Times New Roman" w:cs="Times New Roman"/>
          <w:b/>
          <w:sz w:val="24"/>
          <w:szCs w:val="24"/>
        </w:rPr>
        <w:t>COURSE TITLE: INTERNATIONAL ACCOUNTING</w:t>
      </w:r>
    </w:p>
    <w:p w:rsidR="0092172C" w:rsidRDefault="0092172C" w:rsidP="0092172C">
      <w:pPr>
        <w:ind w:left="750" w:firstLine="690"/>
        <w:rPr>
          <w:rFonts w:ascii="Times New Roman" w:hAnsi="Times New Roman" w:cs="Times New Roman"/>
          <w:b/>
          <w:sz w:val="24"/>
          <w:szCs w:val="24"/>
        </w:rPr>
      </w:pPr>
    </w:p>
    <w:p w:rsidR="00E6347D" w:rsidRPr="00210E22" w:rsidRDefault="00F57288" w:rsidP="00210E22">
      <w:pPr>
        <w:ind w:left="750" w:firstLine="690"/>
        <w:rPr>
          <w:rFonts w:ascii="Times New Roman" w:hAnsi="Times New Roman" w:cs="Times New Roman"/>
          <w:b/>
          <w:sz w:val="24"/>
          <w:szCs w:val="24"/>
        </w:rPr>
      </w:pPr>
      <w:r w:rsidRPr="00DA49BA">
        <w:rPr>
          <w:rFonts w:ascii="Times New Roman" w:hAnsi="Times New Roman" w:cs="Times New Roman"/>
          <w:b/>
          <w:sz w:val="24"/>
          <w:szCs w:val="24"/>
        </w:rPr>
        <w:t xml:space="preserve"> SUMMARY OF</w:t>
      </w:r>
      <w:r w:rsidR="00E6347D" w:rsidRPr="00DA49BA">
        <w:rPr>
          <w:rFonts w:ascii="Times New Roman" w:hAnsi="Times New Roman" w:cs="Times New Roman"/>
          <w:b/>
          <w:sz w:val="24"/>
          <w:szCs w:val="24"/>
        </w:rPr>
        <w:t xml:space="preserve"> INTERNATIONAL TRANSFER PRICING</w:t>
      </w:r>
    </w:p>
    <w:p w:rsidR="001D6AE6" w:rsidRPr="00DA49BA" w:rsidRDefault="00E6347D" w:rsidP="00F83D38">
      <w:pPr>
        <w:spacing w:line="480" w:lineRule="auto"/>
        <w:rPr>
          <w:rFonts w:ascii="Times New Roman" w:hAnsi="Times New Roman" w:cs="Times New Roman"/>
          <w:sz w:val="24"/>
          <w:szCs w:val="24"/>
        </w:rPr>
      </w:pPr>
      <w:r w:rsidRPr="00DA49BA">
        <w:rPr>
          <w:rFonts w:ascii="Times New Roman" w:hAnsi="Times New Roman" w:cs="Times New Roman"/>
          <w:sz w:val="24"/>
          <w:szCs w:val="24"/>
        </w:rPr>
        <w:t xml:space="preserve">Transfer pricing refers to the determination of the price at which transactions between related parties will be carried out. Transfers between related parties are also known as intercompany transactions. Intercompany transactions represent a significant portion of international trade. </w:t>
      </w:r>
    </w:p>
    <w:p w:rsidR="001D6AE6" w:rsidRPr="00DA49BA" w:rsidRDefault="00E6347D" w:rsidP="00F83D38">
      <w:pPr>
        <w:spacing w:line="480" w:lineRule="auto"/>
        <w:rPr>
          <w:rFonts w:ascii="Times New Roman" w:hAnsi="Times New Roman" w:cs="Times New Roman"/>
          <w:sz w:val="24"/>
          <w:szCs w:val="24"/>
        </w:rPr>
      </w:pPr>
      <w:r w:rsidRPr="00DA49BA">
        <w:rPr>
          <w:rFonts w:ascii="Times New Roman" w:hAnsi="Times New Roman" w:cs="Times New Roman"/>
          <w:sz w:val="24"/>
          <w:szCs w:val="24"/>
        </w:rPr>
        <w:t>Two factors heavily influence the manner in which international</w:t>
      </w:r>
      <w:r w:rsidR="001D6AE6" w:rsidRPr="00DA49BA">
        <w:rPr>
          <w:rFonts w:ascii="Times New Roman" w:hAnsi="Times New Roman" w:cs="Times New Roman"/>
          <w:sz w:val="24"/>
          <w:szCs w:val="24"/>
        </w:rPr>
        <w:t xml:space="preserve"> transfer prices are determined:</w:t>
      </w:r>
    </w:p>
    <w:p w:rsidR="001D6AE6" w:rsidRPr="00DA49BA" w:rsidRDefault="001D6AE6" w:rsidP="00F83D38">
      <w:pPr>
        <w:pStyle w:val="ListParagraph"/>
        <w:numPr>
          <w:ilvl w:val="0"/>
          <w:numId w:val="11"/>
        </w:numPr>
        <w:spacing w:line="480" w:lineRule="auto"/>
        <w:rPr>
          <w:rFonts w:ascii="Times New Roman" w:hAnsi="Times New Roman" w:cs="Times New Roman"/>
          <w:sz w:val="24"/>
          <w:szCs w:val="24"/>
        </w:rPr>
      </w:pPr>
      <w:r w:rsidRPr="00DA49BA">
        <w:rPr>
          <w:rFonts w:ascii="Times New Roman" w:hAnsi="Times New Roman" w:cs="Times New Roman"/>
          <w:sz w:val="24"/>
          <w:szCs w:val="24"/>
        </w:rPr>
        <w:t xml:space="preserve">  The factor is the objective that headquarters management wishes to achieve through its transfer pricing practices.</w:t>
      </w:r>
    </w:p>
    <w:p w:rsidR="00E6347D" w:rsidRPr="00DA49BA" w:rsidRDefault="001D6AE6" w:rsidP="00F83D38">
      <w:pPr>
        <w:pStyle w:val="ListParagraph"/>
        <w:numPr>
          <w:ilvl w:val="0"/>
          <w:numId w:val="11"/>
        </w:numPr>
        <w:spacing w:line="480" w:lineRule="auto"/>
        <w:rPr>
          <w:rFonts w:ascii="Times New Roman" w:hAnsi="Times New Roman" w:cs="Times New Roman"/>
          <w:sz w:val="24"/>
          <w:szCs w:val="24"/>
        </w:rPr>
      </w:pPr>
      <w:r w:rsidRPr="00DA49BA">
        <w:rPr>
          <w:rFonts w:ascii="Times New Roman" w:hAnsi="Times New Roman" w:cs="Times New Roman"/>
          <w:sz w:val="24"/>
          <w:szCs w:val="24"/>
        </w:rPr>
        <w:t xml:space="preserve"> The factor affecting international transfer pricing is the law that exists in most countries governing the manner in which intercompany transactions crossing their borders may be priced.</w:t>
      </w:r>
    </w:p>
    <w:p w:rsidR="001D6AE6" w:rsidRPr="00DA49BA" w:rsidRDefault="001D6AE6" w:rsidP="00F83D38">
      <w:pPr>
        <w:spacing w:line="480" w:lineRule="auto"/>
        <w:ind w:left="360"/>
        <w:rPr>
          <w:rFonts w:ascii="Times New Roman" w:hAnsi="Times New Roman" w:cs="Times New Roman"/>
          <w:b/>
          <w:sz w:val="24"/>
          <w:szCs w:val="24"/>
        </w:rPr>
      </w:pPr>
      <w:r w:rsidRPr="00DA49BA">
        <w:rPr>
          <w:rFonts w:ascii="Times New Roman" w:hAnsi="Times New Roman" w:cs="Times New Roman"/>
          <w:b/>
          <w:sz w:val="24"/>
          <w:szCs w:val="24"/>
        </w:rPr>
        <w:t>DECENTRALIZATION AND GOAL CONGRUENCE</w:t>
      </w:r>
    </w:p>
    <w:p w:rsidR="001D6AE6" w:rsidRPr="00DA49BA" w:rsidRDefault="001D6AE6" w:rsidP="00F83D38">
      <w:pPr>
        <w:spacing w:line="480" w:lineRule="auto"/>
        <w:ind w:left="360"/>
        <w:rPr>
          <w:rFonts w:ascii="Times New Roman" w:hAnsi="Times New Roman" w:cs="Times New Roman"/>
          <w:sz w:val="24"/>
          <w:szCs w:val="24"/>
        </w:rPr>
      </w:pPr>
      <w:r w:rsidRPr="00DA49BA">
        <w:rPr>
          <w:rFonts w:ascii="Times New Roman" w:hAnsi="Times New Roman" w:cs="Times New Roman"/>
          <w:sz w:val="24"/>
          <w:szCs w:val="24"/>
        </w:rPr>
        <w:t>Business enterprises often are organized by division.  A division may be a profit centre, responsible for revenues and operating expenses, or an investment centre, responsible also for assets.</w:t>
      </w:r>
    </w:p>
    <w:p w:rsidR="001D6AE6" w:rsidRPr="00DA49BA" w:rsidRDefault="001D6AE6" w:rsidP="00F83D38">
      <w:pPr>
        <w:spacing w:line="480" w:lineRule="auto"/>
        <w:ind w:left="360"/>
        <w:rPr>
          <w:rFonts w:ascii="Times New Roman" w:hAnsi="Times New Roman" w:cs="Times New Roman"/>
          <w:b/>
          <w:sz w:val="24"/>
          <w:szCs w:val="24"/>
        </w:rPr>
      </w:pPr>
      <w:r w:rsidRPr="00DA49BA">
        <w:rPr>
          <w:rFonts w:ascii="Times New Roman" w:hAnsi="Times New Roman" w:cs="Times New Roman"/>
          <w:b/>
          <w:sz w:val="24"/>
          <w:szCs w:val="24"/>
        </w:rPr>
        <w:t>ADAVANTAGES OF DECENTRALIZATION</w:t>
      </w:r>
    </w:p>
    <w:p w:rsidR="001D6AE6" w:rsidRPr="00DA49BA" w:rsidRDefault="001D6AE6" w:rsidP="00F83D38">
      <w:pPr>
        <w:pStyle w:val="ListParagraph"/>
        <w:numPr>
          <w:ilvl w:val="0"/>
          <w:numId w:val="13"/>
        </w:numPr>
        <w:spacing w:line="480" w:lineRule="auto"/>
        <w:rPr>
          <w:rFonts w:ascii="Times New Roman" w:hAnsi="Times New Roman" w:cs="Times New Roman"/>
          <w:sz w:val="24"/>
          <w:szCs w:val="24"/>
        </w:rPr>
      </w:pPr>
      <w:r w:rsidRPr="00DA49BA">
        <w:rPr>
          <w:rFonts w:ascii="Times New Roman" w:hAnsi="Times New Roman" w:cs="Times New Roman"/>
          <w:sz w:val="24"/>
          <w:szCs w:val="24"/>
        </w:rPr>
        <w:t>Allowing local managers to respond quickly to a changing environment.</w:t>
      </w:r>
    </w:p>
    <w:p w:rsidR="001D6AE6" w:rsidRPr="00DA49BA" w:rsidRDefault="001D6AE6" w:rsidP="00F83D38">
      <w:pPr>
        <w:pStyle w:val="ListParagraph"/>
        <w:numPr>
          <w:ilvl w:val="0"/>
          <w:numId w:val="13"/>
        </w:numPr>
        <w:spacing w:line="480" w:lineRule="auto"/>
        <w:rPr>
          <w:rFonts w:ascii="Times New Roman" w:hAnsi="Times New Roman" w:cs="Times New Roman"/>
          <w:sz w:val="24"/>
          <w:szCs w:val="24"/>
        </w:rPr>
      </w:pPr>
      <w:r w:rsidRPr="00DA49BA">
        <w:rPr>
          <w:rFonts w:ascii="Times New Roman" w:hAnsi="Times New Roman" w:cs="Times New Roman"/>
          <w:sz w:val="24"/>
          <w:szCs w:val="24"/>
        </w:rPr>
        <w:t>Dividing large, complex problems into manageable pieces.</w:t>
      </w:r>
    </w:p>
    <w:p w:rsidR="00DA49BA" w:rsidRPr="00210E22" w:rsidRDefault="001D6AE6" w:rsidP="00210E22">
      <w:pPr>
        <w:pStyle w:val="ListParagraph"/>
        <w:numPr>
          <w:ilvl w:val="0"/>
          <w:numId w:val="13"/>
        </w:numPr>
        <w:spacing w:line="480" w:lineRule="auto"/>
        <w:rPr>
          <w:rFonts w:ascii="Times New Roman" w:hAnsi="Times New Roman" w:cs="Times New Roman"/>
          <w:sz w:val="24"/>
          <w:szCs w:val="24"/>
        </w:rPr>
      </w:pPr>
      <w:r w:rsidRPr="00DA49BA">
        <w:rPr>
          <w:rFonts w:ascii="Times New Roman" w:hAnsi="Times New Roman" w:cs="Times New Roman"/>
          <w:sz w:val="24"/>
          <w:szCs w:val="24"/>
        </w:rPr>
        <w:lastRenderedPageBreak/>
        <w:t xml:space="preserve"> Motivating local managers who otherwise will be frustrated if asked only to implement the decisions of others.</w:t>
      </w:r>
    </w:p>
    <w:p w:rsidR="00826912" w:rsidRPr="00DA49BA" w:rsidRDefault="00826912" w:rsidP="00F83D38">
      <w:pPr>
        <w:spacing w:line="480" w:lineRule="auto"/>
        <w:ind w:left="360"/>
        <w:rPr>
          <w:rFonts w:ascii="Times New Roman" w:hAnsi="Times New Roman" w:cs="Times New Roman"/>
          <w:b/>
          <w:sz w:val="24"/>
          <w:szCs w:val="24"/>
        </w:rPr>
      </w:pPr>
      <w:r w:rsidRPr="00DA49BA">
        <w:rPr>
          <w:rFonts w:ascii="Times New Roman" w:hAnsi="Times New Roman" w:cs="Times New Roman"/>
          <w:b/>
          <w:sz w:val="24"/>
          <w:szCs w:val="24"/>
        </w:rPr>
        <w:t>DISADVANTAGES OF DESENTRALIZATION</w:t>
      </w:r>
    </w:p>
    <w:p w:rsidR="00826912" w:rsidRPr="00DA49BA" w:rsidRDefault="00826912" w:rsidP="00F83D38">
      <w:pPr>
        <w:spacing w:line="480" w:lineRule="auto"/>
        <w:ind w:left="360"/>
        <w:rPr>
          <w:rFonts w:ascii="Times New Roman" w:hAnsi="Times New Roman" w:cs="Times New Roman"/>
          <w:sz w:val="24"/>
          <w:szCs w:val="24"/>
        </w:rPr>
      </w:pPr>
      <w:r w:rsidRPr="00DA49BA">
        <w:rPr>
          <w:rFonts w:ascii="Times New Roman" w:hAnsi="Times New Roman" w:cs="Times New Roman"/>
          <w:sz w:val="24"/>
          <w:szCs w:val="24"/>
        </w:rPr>
        <w:t>local managers who have been granted decision-making authority may make decisions that are in their self-interest but detrimental to the company as a whole.</w:t>
      </w:r>
    </w:p>
    <w:p w:rsidR="00826912" w:rsidRPr="00DA49BA" w:rsidRDefault="00826912" w:rsidP="00F83D38">
      <w:pPr>
        <w:spacing w:line="480" w:lineRule="auto"/>
        <w:ind w:left="360"/>
        <w:rPr>
          <w:rFonts w:ascii="Times New Roman" w:hAnsi="Times New Roman" w:cs="Times New Roman"/>
          <w:sz w:val="24"/>
          <w:szCs w:val="24"/>
        </w:rPr>
      </w:pPr>
      <w:r w:rsidRPr="00DA49BA">
        <w:rPr>
          <w:rFonts w:ascii="Times New Roman" w:hAnsi="Times New Roman" w:cs="Times New Roman"/>
          <w:sz w:val="24"/>
          <w:szCs w:val="24"/>
        </w:rPr>
        <w:t>The designed in which it provides incentives for local managers to make decisions that are consistent with corporate goals is known as GOAL CONGRUENCE.</w:t>
      </w:r>
    </w:p>
    <w:p w:rsidR="00826912" w:rsidRPr="00DA49BA" w:rsidRDefault="00826912" w:rsidP="00F83D38">
      <w:pPr>
        <w:spacing w:line="480" w:lineRule="auto"/>
        <w:ind w:left="360"/>
        <w:rPr>
          <w:rFonts w:ascii="Times New Roman" w:hAnsi="Times New Roman" w:cs="Times New Roman"/>
          <w:b/>
          <w:sz w:val="24"/>
          <w:szCs w:val="24"/>
        </w:rPr>
      </w:pPr>
      <w:r w:rsidRPr="00DA49BA">
        <w:rPr>
          <w:rFonts w:ascii="Times New Roman" w:hAnsi="Times New Roman" w:cs="Times New Roman"/>
          <w:b/>
          <w:sz w:val="24"/>
          <w:szCs w:val="24"/>
        </w:rPr>
        <w:t xml:space="preserve">TRANSFER PRICING METHODS   </w:t>
      </w:r>
    </w:p>
    <w:p w:rsidR="00826912" w:rsidRPr="00DA49BA" w:rsidRDefault="00826912" w:rsidP="00F83D38">
      <w:pPr>
        <w:pStyle w:val="ListParagraph"/>
        <w:numPr>
          <w:ilvl w:val="0"/>
          <w:numId w:val="14"/>
        </w:numPr>
        <w:spacing w:line="480" w:lineRule="auto"/>
        <w:rPr>
          <w:rFonts w:ascii="Times New Roman" w:hAnsi="Times New Roman" w:cs="Times New Roman"/>
          <w:sz w:val="24"/>
          <w:szCs w:val="24"/>
        </w:rPr>
      </w:pPr>
      <w:r w:rsidRPr="00DA49BA">
        <w:rPr>
          <w:rFonts w:ascii="Times New Roman" w:hAnsi="Times New Roman" w:cs="Times New Roman"/>
          <w:sz w:val="24"/>
          <w:szCs w:val="24"/>
        </w:rPr>
        <w:t xml:space="preserve"> </w:t>
      </w:r>
      <w:r w:rsidRPr="00DA49BA">
        <w:rPr>
          <w:rFonts w:ascii="Times New Roman" w:hAnsi="Times New Roman" w:cs="Times New Roman"/>
          <w:b/>
          <w:sz w:val="24"/>
          <w:szCs w:val="24"/>
        </w:rPr>
        <w:t>Cost-based transfer price:</w:t>
      </w:r>
      <w:r w:rsidRPr="00DA49BA">
        <w:rPr>
          <w:rFonts w:ascii="Times New Roman" w:hAnsi="Times New Roman" w:cs="Times New Roman"/>
          <w:sz w:val="24"/>
          <w:szCs w:val="24"/>
        </w:rPr>
        <w:t xml:space="preserve">  The transfer price is based on the cost to produce a good or service. Cost can be determined as variable production cost, variable plus fixed production cost, or full cost, based on either actual or budgeted amounts (standard costs).</w:t>
      </w:r>
    </w:p>
    <w:p w:rsidR="00DA49BA" w:rsidRPr="00DA49BA" w:rsidRDefault="00826912" w:rsidP="00F83D38">
      <w:pPr>
        <w:pStyle w:val="ListParagraph"/>
        <w:numPr>
          <w:ilvl w:val="0"/>
          <w:numId w:val="14"/>
        </w:numPr>
        <w:spacing w:line="480" w:lineRule="auto"/>
        <w:rPr>
          <w:rFonts w:ascii="Times New Roman" w:hAnsi="Times New Roman" w:cs="Times New Roman"/>
          <w:sz w:val="24"/>
          <w:szCs w:val="24"/>
        </w:rPr>
      </w:pPr>
      <w:r w:rsidRPr="00DA49BA">
        <w:rPr>
          <w:rFonts w:ascii="Times New Roman" w:hAnsi="Times New Roman" w:cs="Times New Roman"/>
          <w:sz w:val="24"/>
          <w:szCs w:val="24"/>
        </w:rPr>
        <w:t xml:space="preserve"> </w:t>
      </w:r>
      <w:r w:rsidRPr="00DA49BA">
        <w:rPr>
          <w:rFonts w:ascii="Times New Roman" w:hAnsi="Times New Roman" w:cs="Times New Roman"/>
          <w:b/>
          <w:sz w:val="24"/>
          <w:szCs w:val="24"/>
        </w:rPr>
        <w:t>Market-based transfer price</w:t>
      </w:r>
      <w:r w:rsidRPr="00DA49BA">
        <w:rPr>
          <w:rFonts w:ascii="Times New Roman" w:hAnsi="Times New Roman" w:cs="Times New Roman"/>
          <w:sz w:val="24"/>
          <w:szCs w:val="24"/>
        </w:rPr>
        <w:t>:  The transfer price charged a related party is either based on the price that would be charged to an unrelated customer or determined by reference to sales of similar products or services by other companies to unrelated parties. Market-based systems avoid the problem associated with cost-based systems of transferring the inefficiencies of one division or subsidiary to others.</w:t>
      </w:r>
    </w:p>
    <w:p w:rsidR="00DA49BA" w:rsidRPr="00DA49BA" w:rsidRDefault="00826912" w:rsidP="00F83D38">
      <w:pPr>
        <w:pStyle w:val="ListParagraph"/>
        <w:numPr>
          <w:ilvl w:val="0"/>
          <w:numId w:val="14"/>
        </w:numPr>
        <w:spacing w:line="480" w:lineRule="auto"/>
        <w:rPr>
          <w:rFonts w:ascii="Times New Roman" w:hAnsi="Times New Roman" w:cs="Times New Roman"/>
          <w:sz w:val="24"/>
          <w:szCs w:val="24"/>
        </w:rPr>
      </w:pPr>
      <w:r w:rsidRPr="00DA49BA">
        <w:rPr>
          <w:rFonts w:ascii="Times New Roman" w:hAnsi="Times New Roman" w:cs="Times New Roman"/>
          <w:b/>
          <w:sz w:val="24"/>
          <w:szCs w:val="24"/>
        </w:rPr>
        <w:t>Negotiated price</w:t>
      </w:r>
      <w:r w:rsidRPr="00DA49BA">
        <w:rPr>
          <w:rFonts w:ascii="Times New Roman" w:hAnsi="Times New Roman" w:cs="Times New Roman"/>
          <w:sz w:val="24"/>
          <w:szCs w:val="24"/>
        </w:rPr>
        <w:t>:  The transfer price is the result of negotiation between buyer and seller and may be unrelated to either cost or market value. A negotiated pricing system can be useful, as it allows subsidiary managers the freedom to bargain with one another, thereby preserving the autonomy of subsidiary managers</w:t>
      </w:r>
    </w:p>
    <w:p w:rsidR="00DA49BA" w:rsidRPr="00DA49BA" w:rsidRDefault="00DA49BA" w:rsidP="00F83D38">
      <w:pPr>
        <w:pStyle w:val="ListParagraph"/>
        <w:spacing w:line="480" w:lineRule="auto"/>
        <w:rPr>
          <w:rFonts w:ascii="Times New Roman" w:hAnsi="Times New Roman" w:cs="Times New Roman"/>
          <w:b/>
          <w:sz w:val="24"/>
          <w:szCs w:val="24"/>
        </w:rPr>
      </w:pPr>
    </w:p>
    <w:p w:rsidR="00F57288" w:rsidRPr="00DA49BA" w:rsidRDefault="00826912" w:rsidP="00F83D38">
      <w:pPr>
        <w:pStyle w:val="ListParagraph"/>
        <w:spacing w:line="480" w:lineRule="auto"/>
        <w:rPr>
          <w:rFonts w:ascii="Times New Roman" w:hAnsi="Times New Roman" w:cs="Times New Roman"/>
          <w:b/>
          <w:sz w:val="24"/>
          <w:szCs w:val="24"/>
        </w:rPr>
      </w:pPr>
      <w:r w:rsidRPr="00DA49BA">
        <w:rPr>
          <w:rFonts w:ascii="Times New Roman" w:hAnsi="Times New Roman" w:cs="Times New Roman"/>
          <w:b/>
          <w:sz w:val="24"/>
          <w:szCs w:val="24"/>
        </w:rPr>
        <w:t xml:space="preserve">OBJECTIVES OF INTERNATIONAL TRANSFER PRICING   </w:t>
      </w:r>
    </w:p>
    <w:p w:rsidR="00826912" w:rsidRPr="00DA49BA" w:rsidRDefault="00826912" w:rsidP="00F83D38">
      <w:pPr>
        <w:pStyle w:val="ListParagraph"/>
        <w:numPr>
          <w:ilvl w:val="0"/>
          <w:numId w:val="15"/>
        </w:numPr>
        <w:spacing w:line="480" w:lineRule="auto"/>
        <w:rPr>
          <w:rFonts w:ascii="Times New Roman" w:hAnsi="Times New Roman" w:cs="Times New Roman"/>
          <w:sz w:val="24"/>
          <w:szCs w:val="24"/>
        </w:rPr>
      </w:pPr>
      <w:r w:rsidRPr="00DA49BA">
        <w:rPr>
          <w:rFonts w:ascii="Times New Roman" w:hAnsi="Times New Roman" w:cs="Times New Roman"/>
          <w:b/>
          <w:sz w:val="24"/>
          <w:szCs w:val="24"/>
        </w:rPr>
        <w:lastRenderedPageBreak/>
        <w:t>Performance Evaluation</w:t>
      </w:r>
      <w:r w:rsidRPr="00DA49BA">
        <w:rPr>
          <w:rFonts w:ascii="Times New Roman" w:hAnsi="Times New Roman" w:cs="Times New Roman"/>
          <w:sz w:val="24"/>
          <w:szCs w:val="24"/>
        </w:rPr>
        <w:t>: To fairly evaluate the performance of both parties to an intercompany transaction, the transfer should be made at a price acceptable to both parties.</w:t>
      </w:r>
    </w:p>
    <w:p w:rsidR="00826912" w:rsidRPr="00DA49BA" w:rsidRDefault="00826912" w:rsidP="00F83D38">
      <w:pPr>
        <w:pStyle w:val="ListParagraph"/>
        <w:numPr>
          <w:ilvl w:val="0"/>
          <w:numId w:val="15"/>
        </w:numPr>
        <w:spacing w:line="480" w:lineRule="auto"/>
        <w:rPr>
          <w:rFonts w:ascii="Times New Roman" w:hAnsi="Times New Roman" w:cs="Times New Roman"/>
          <w:sz w:val="24"/>
          <w:szCs w:val="24"/>
        </w:rPr>
      </w:pPr>
      <w:r w:rsidRPr="00DA49BA">
        <w:rPr>
          <w:rFonts w:ascii="Times New Roman" w:hAnsi="Times New Roman" w:cs="Times New Roman"/>
          <w:b/>
          <w:sz w:val="24"/>
          <w:szCs w:val="24"/>
        </w:rPr>
        <w:t>Cost Minimization</w:t>
      </w:r>
      <w:r w:rsidRPr="00DA49BA">
        <w:rPr>
          <w:rFonts w:ascii="Times New Roman" w:hAnsi="Times New Roman" w:cs="Times New Roman"/>
          <w:sz w:val="24"/>
          <w:szCs w:val="24"/>
        </w:rPr>
        <w:t>: When intercompany transactions cross national borders, differences between countries might lead an MNC to attempt to achieve certain cost-minimization objectives through the use of discretionary transfer prices mandated by headquarters,</w:t>
      </w:r>
    </w:p>
    <w:p w:rsidR="00826912" w:rsidRPr="00DA49BA" w:rsidRDefault="00826912" w:rsidP="00F83D38">
      <w:pPr>
        <w:spacing w:line="480" w:lineRule="auto"/>
        <w:ind w:left="30"/>
        <w:rPr>
          <w:rFonts w:ascii="Times New Roman" w:hAnsi="Times New Roman" w:cs="Times New Roman"/>
          <w:b/>
          <w:sz w:val="24"/>
          <w:szCs w:val="24"/>
        </w:rPr>
      </w:pPr>
      <w:r w:rsidRPr="00DA49BA">
        <w:rPr>
          <w:rFonts w:ascii="Times New Roman" w:hAnsi="Times New Roman" w:cs="Times New Roman"/>
          <w:b/>
          <w:sz w:val="24"/>
          <w:szCs w:val="24"/>
        </w:rPr>
        <w:t>Cost-Minimization Objectives</w:t>
      </w:r>
    </w:p>
    <w:p w:rsidR="00DA49BA" w:rsidRPr="00DA49BA" w:rsidRDefault="00826912" w:rsidP="00F83D38">
      <w:pPr>
        <w:pStyle w:val="ListParagraph"/>
        <w:numPr>
          <w:ilvl w:val="0"/>
          <w:numId w:val="16"/>
        </w:numPr>
        <w:spacing w:line="480" w:lineRule="auto"/>
        <w:rPr>
          <w:rFonts w:ascii="Times New Roman" w:hAnsi="Times New Roman" w:cs="Times New Roman"/>
          <w:sz w:val="24"/>
          <w:szCs w:val="24"/>
        </w:rPr>
      </w:pPr>
      <w:r w:rsidRPr="00DA49BA">
        <w:rPr>
          <w:rFonts w:ascii="Times New Roman" w:hAnsi="Times New Roman" w:cs="Times New Roman"/>
          <w:b/>
          <w:sz w:val="24"/>
          <w:szCs w:val="24"/>
        </w:rPr>
        <w:t>Avoidance of Withholding Taxes:</w:t>
      </w:r>
      <w:r w:rsidRPr="00DA49BA">
        <w:rPr>
          <w:rFonts w:ascii="Times New Roman" w:hAnsi="Times New Roman" w:cs="Times New Roman"/>
          <w:sz w:val="24"/>
          <w:szCs w:val="24"/>
        </w:rPr>
        <w:t xml:space="preserve"> A parent company might want to avoid receiving cash payments from its foreign subsidiaries in the form of dividends, interest, and royalties on which withholding taxes will be </w:t>
      </w:r>
      <w:r w:rsidR="00DA49BA" w:rsidRPr="00DA49BA">
        <w:rPr>
          <w:rFonts w:ascii="Times New Roman" w:hAnsi="Times New Roman" w:cs="Times New Roman"/>
          <w:sz w:val="24"/>
          <w:szCs w:val="24"/>
        </w:rPr>
        <w:t>paid to the foreign government.</w:t>
      </w:r>
    </w:p>
    <w:p w:rsidR="00DA49BA" w:rsidRPr="00DA49BA" w:rsidRDefault="00826912" w:rsidP="00F83D38">
      <w:pPr>
        <w:pStyle w:val="ListParagraph"/>
        <w:numPr>
          <w:ilvl w:val="0"/>
          <w:numId w:val="16"/>
        </w:numPr>
        <w:spacing w:line="480" w:lineRule="auto"/>
        <w:rPr>
          <w:rFonts w:ascii="Times New Roman" w:hAnsi="Times New Roman" w:cs="Times New Roman"/>
          <w:sz w:val="24"/>
          <w:szCs w:val="24"/>
        </w:rPr>
      </w:pPr>
      <w:r w:rsidRPr="00DA49BA">
        <w:rPr>
          <w:rFonts w:ascii="Times New Roman" w:hAnsi="Times New Roman" w:cs="Times New Roman"/>
          <w:b/>
          <w:sz w:val="24"/>
          <w:szCs w:val="24"/>
        </w:rPr>
        <w:t>Minimization of Import Duties (Tariffs):</w:t>
      </w:r>
      <w:r w:rsidRPr="00DA49BA">
        <w:rPr>
          <w:rFonts w:ascii="Times New Roman" w:hAnsi="Times New Roman" w:cs="Times New Roman"/>
          <w:sz w:val="24"/>
          <w:szCs w:val="24"/>
        </w:rPr>
        <w:t xml:space="preserve"> Countries generally assess tariffs on the value (based on invoice prices) of goods b</w:t>
      </w:r>
      <w:r w:rsidR="00DA49BA" w:rsidRPr="00DA49BA">
        <w:rPr>
          <w:rFonts w:ascii="Times New Roman" w:hAnsi="Times New Roman" w:cs="Times New Roman"/>
          <w:sz w:val="24"/>
          <w:szCs w:val="24"/>
        </w:rPr>
        <w:t>eing imported into the country.</w:t>
      </w:r>
    </w:p>
    <w:p w:rsidR="00826912" w:rsidRPr="00DA49BA" w:rsidRDefault="00826912" w:rsidP="00F83D38">
      <w:pPr>
        <w:pStyle w:val="ListParagraph"/>
        <w:numPr>
          <w:ilvl w:val="0"/>
          <w:numId w:val="16"/>
        </w:numPr>
        <w:spacing w:line="480" w:lineRule="auto"/>
        <w:rPr>
          <w:rFonts w:ascii="Times New Roman" w:hAnsi="Times New Roman" w:cs="Times New Roman"/>
          <w:sz w:val="24"/>
          <w:szCs w:val="24"/>
        </w:rPr>
      </w:pPr>
      <w:r w:rsidRPr="00DA49BA">
        <w:rPr>
          <w:rFonts w:ascii="Times New Roman" w:hAnsi="Times New Roman" w:cs="Times New Roman"/>
          <w:b/>
          <w:sz w:val="24"/>
          <w:szCs w:val="24"/>
        </w:rPr>
        <w:t>Protect Cash Flows from Currency Devaluation:</w:t>
      </w:r>
      <w:r w:rsidRPr="00DA49BA">
        <w:rPr>
          <w:rFonts w:ascii="Times New Roman" w:hAnsi="Times New Roman" w:cs="Times New Roman"/>
          <w:sz w:val="24"/>
          <w:szCs w:val="24"/>
        </w:rPr>
        <w:t xml:space="preserve"> In many cases, some amount of the net cash flow generated by a subsidiary in a foreign country will be moved out of that country, if for no other reason than to distribute it as a dividend to stockholders of the parent company.</w:t>
      </w:r>
    </w:p>
    <w:p w:rsidR="00F3440A" w:rsidRPr="00DA49BA" w:rsidRDefault="00F3440A" w:rsidP="00F83D38">
      <w:pPr>
        <w:spacing w:line="480" w:lineRule="auto"/>
        <w:ind w:left="360"/>
        <w:rPr>
          <w:rFonts w:ascii="Times New Roman" w:hAnsi="Times New Roman" w:cs="Times New Roman"/>
          <w:sz w:val="24"/>
          <w:szCs w:val="24"/>
        </w:rPr>
      </w:pPr>
    </w:p>
    <w:sectPr w:rsidR="00F3440A" w:rsidRPr="00DA49BA" w:rsidSect="003A2B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E06"/>
    <w:multiLevelType w:val="hybridMultilevel"/>
    <w:tmpl w:val="4D5E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0E4C"/>
    <w:multiLevelType w:val="hybridMultilevel"/>
    <w:tmpl w:val="72AEF382"/>
    <w:lvl w:ilvl="0" w:tplc="677C81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B6821"/>
    <w:multiLevelType w:val="hybridMultilevel"/>
    <w:tmpl w:val="CC080AB0"/>
    <w:lvl w:ilvl="0" w:tplc="D6FAC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347F5"/>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4088F"/>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288A6DF3"/>
    <w:multiLevelType w:val="hybridMultilevel"/>
    <w:tmpl w:val="98383A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7236CA"/>
    <w:multiLevelType w:val="hybridMultilevel"/>
    <w:tmpl w:val="1C38EA84"/>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2DC10430"/>
    <w:multiLevelType w:val="hybridMultilevel"/>
    <w:tmpl w:val="E71C9BD0"/>
    <w:lvl w:ilvl="0" w:tplc="7A66F8F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3BEC061E"/>
    <w:multiLevelType w:val="hybridMultilevel"/>
    <w:tmpl w:val="90127B6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23078"/>
    <w:multiLevelType w:val="hybridMultilevel"/>
    <w:tmpl w:val="7ECE18D4"/>
    <w:lvl w:ilvl="0" w:tplc="E9FC095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4A2D6ADF"/>
    <w:multiLevelType w:val="hybridMultilevel"/>
    <w:tmpl w:val="53A4284C"/>
    <w:lvl w:ilvl="0" w:tplc="8CA65F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582E2D0D"/>
    <w:multiLevelType w:val="hybridMultilevel"/>
    <w:tmpl w:val="7854A268"/>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A2539"/>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6D8D101B"/>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70890E06"/>
    <w:multiLevelType w:val="hybridMultilevel"/>
    <w:tmpl w:val="81BC7ADE"/>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E59B8"/>
    <w:multiLevelType w:val="hybridMultilevel"/>
    <w:tmpl w:val="21368F68"/>
    <w:lvl w:ilvl="0" w:tplc="64C08704">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4"/>
  </w:num>
  <w:num w:numId="2">
    <w:abstractNumId w:val="12"/>
  </w:num>
  <w:num w:numId="3">
    <w:abstractNumId w:val="3"/>
  </w:num>
  <w:num w:numId="4">
    <w:abstractNumId w:val="13"/>
  </w:num>
  <w:num w:numId="5">
    <w:abstractNumId w:val="9"/>
  </w:num>
  <w:num w:numId="6">
    <w:abstractNumId w:val="10"/>
  </w:num>
  <w:num w:numId="7">
    <w:abstractNumId w:val="15"/>
  </w:num>
  <w:num w:numId="8">
    <w:abstractNumId w:val="7"/>
  </w:num>
  <w:num w:numId="9">
    <w:abstractNumId w:val="0"/>
  </w:num>
  <w:num w:numId="10">
    <w:abstractNumId w:val="1"/>
  </w:num>
  <w:num w:numId="11">
    <w:abstractNumId w:val="11"/>
  </w:num>
  <w:num w:numId="12">
    <w:abstractNumId w:val="2"/>
  </w:num>
  <w:num w:numId="13">
    <w:abstractNumId w:val="8"/>
  </w:num>
  <w:num w:numId="14">
    <w:abstractNumId w:val="14"/>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E235E"/>
    <w:rsid w:val="00147B1D"/>
    <w:rsid w:val="001D6AE6"/>
    <w:rsid w:val="00210E22"/>
    <w:rsid w:val="00311751"/>
    <w:rsid w:val="003A2B51"/>
    <w:rsid w:val="003E235E"/>
    <w:rsid w:val="008063C3"/>
    <w:rsid w:val="00826912"/>
    <w:rsid w:val="0092172C"/>
    <w:rsid w:val="00933919"/>
    <w:rsid w:val="00967436"/>
    <w:rsid w:val="00AA0E72"/>
    <w:rsid w:val="00B72A40"/>
    <w:rsid w:val="00DA49BA"/>
    <w:rsid w:val="00E6347D"/>
    <w:rsid w:val="00F3440A"/>
    <w:rsid w:val="00F57288"/>
    <w:rsid w:val="00F67E5A"/>
    <w:rsid w:val="00F83D38"/>
    <w:rsid w:val="00F96987"/>
    <w:rsid w:val="00FF0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5</cp:revision>
  <dcterms:created xsi:type="dcterms:W3CDTF">2020-04-15T09:28:00Z</dcterms:created>
  <dcterms:modified xsi:type="dcterms:W3CDTF">2020-04-15T22:02:00Z</dcterms:modified>
</cp:coreProperties>
</file>