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A4" w:rsidRDefault="00F44540">
      <w:r>
        <w:t>Name: Kenneth-</w:t>
      </w:r>
      <w:proofErr w:type="spellStart"/>
      <w:proofErr w:type="gramStart"/>
      <w:r>
        <w:t>Sobijoh</w:t>
      </w:r>
      <w:proofErr w:type="spellEnd"/>
      <w:r>
        <w:t xml:space="preserve">  </w:t>
      </w:r>
      <w:proofErr w:type="spellStart"/>
      <w:r>
        <w:t>Yinla</w:t>
      </w:r>
      <w:proofErr w:type="spellEnd"/>
      <w:proofErr w:type="gramEnd"/>
      <w:r>
        <w:t xml:space="preserve"> </w:t>
      </w:r>
    </w:p>
    <w:p w:rsidR="00F44540" w:rsidRDefault="00F44540">
      <w:r>
        <w:t>Matric number: 18/law01/133</w:t>
      </w:r>
    </w:p>
    <w:p w:rsidR="00F44540" w:rsidRDefault="00F44540" w:rsidP="00E035C5">
      <w:r>
        <w:t>Level</w:t>
      </w:r>
      <w:r w:rsidR="00FA0A0C">
        <w:t>: 200</w:t>
      </w:r>
    </w:p>
    <w:p w:rsidR="00F44540" w:rsidRDefault="00F44540">
      <w:r>
        <w:t>College: Law</w:t>
      </w:r>
    </w:p>
    <w:p w:rsidR="00F44540" w:rsidRDefault="00F44540">
      <w:r>
        <w:t>Course title: Nigerian Legal system</w:t>
      </w:r>
    </w:p>
    <w:p w:rsidR="00F44540" w:rsidRDefault="00F44540"/>
    <w:p w:rsidR="00F44540" w:rsidRDefault="00F44540">
      <w:r>
        <w:t>ASSIGNMENT</w:t>
      </w:r>
    </w:p>
    <w:p w:rsidR="00F44540" w:rsidRDefault="00FA0A0C">
      <w:r>
        <w:t>1. State</w:t>
      </w:r>
      <w:r w:rsidR="00F44540">
        <w:t xml:space="preserve"> clearly the procedure from arraignment to imposition of sentence in a criminal trial in High court. Comment on the remedy available to the accused after the imposition of sentence.</w:t>
      </w:r>
    </w:p>
    <w:p w:rsidR="00F44540" w:rsidRDefault="00F44540">
      <w:r>
        <w:t xml:space="preserve">2. Comment on the various methods by which civil proceedings </w:t>
      </w:r>
      <w:proofErr w:type="gramStart"/>
      <w:r>
        <w:t>may be commenced</w:t>
      </w:r>
      <w:proofErr w:type="gramEnd"/>
      <w:r>
        <w:t xml:space="preserve"> in the High court</w:t>
      </w:r>
    </w:p>
    <w:p w:rsidR="00F44540" w:rsidRDefault="00F44540"/>
    <w:p w:rsidR="00F44540" w:rsidRDefault="00F44540"/>
    <w:p w:rsidR="00F44540" w:rsidRDefault="00F44540"/>
    <w:p w:rsidR="00452E33" w:rsidRDefault="00F44540" w:rsidP="00452E33">
      <w:r>
        <w:t xml:space="preserve">1a. </w:t>
      </w:r>
      <w:proofErr w:type="gramStart"/>
      <w:r>
        <w:t xml:space="preserve">The  </w:t>
      </w:r>
      <w:r w:rsidR="00452E33">
        <w:t>procedure</w:t>
      </w:r>
      <w:proofErr w:type="gramEnd"/>
      <w:r w:rsidR="00452E33">
        <w:t xml:space="preserve"> from arraignment to  imposition of sentence in a criminal trial in high court is as follows:</w:t>
      </w:r>
    </w:p>
    <w:p w:rsidR="008D6110" w:rsidRPr="008D6110" w:rsidRDefault="00452E33" w:rsidP="008D6110">
      <w:pPr>
        <w:pStyle w:val="ListParagraph"/>
        <w:numPr>
          <w:ilvl w:val="0"/>
          <w:numId w:val="4"/>
        </w:numPr>
      </w:pPr>
      <w:r w:rsidRPr="008D6110">
        <w:rPr>
          <w:b/>
        </w:rPr>
        <w:t>INDICTMENT AND INFORMATION</w:t>
      </w:r>
      <w:r>
        <w:t xml:space="preserve">: An indictment or information is an </w:t>
      </w:r>
      <w:r w:rsidR="00FA0A0C">
        <w:t>accusation</w:t>
      </w:r>
      <w:r>
        <w:t xml:space="preserve"> of a crime brought against an accused for trial in a high court. An indictment or </w:t>
      </w:r>
      <w:proofErr w:type="gramStart"/>
      <w:r>
        <w:t>information,</w:t>
      </w:r>
      <w:proofErr w:type="gramEnd"/>
      <w:r>
        <w:t xml:space="preserve"> is a criminal charge brought against a person by the attorney general or any of his subordinate legal officers on behalf </w:t>
      </w:r>
      <w:proofErr w:type="spellStart"/>
      <w:r>
        <w:t>off</w:t>
      </w:r>
      <w:proofErr w:type="spellEnd"/>
      <w:r>
        <w:t xml:space="preserve"> the state or country and which is for trial at the high court. Examples of an information is </w:t>
      </w:r>
      <w:r w:rsidRPr="00452E33">
        <w:rPr>
          <w:b/>
        </w:rPr>
        <w:t>state v Bad man</w:t>
      </w:r>
      <w:r>
        <w:t xml:space="preserve">, </w:t>
      </w:r>
      <w:r w:rsidRPr="00452E33">
        <w:rPr>
          <w:b/>
        </w:rPr>
        <w:t>FRN v Bad Man, NDLEA v Bad Man</w:t>
      </w:r>
      <w:r>
        <w:rPr>
          <w:b/>
        </w:rPr>
        <w:t>.</w:t>
      </w:r>
    </w:p>
    <w:p w:rsidR="008D6110" w:rsidRDefault="008D6110" w:rsidP="008D6110">
      <w:pPr>
        <w:pStyle w:val="ListParagraph"/>
        <w:numPr>
          <w:ilvl w:val="0"/>
          <w:numId w:val="4"/>
        </w:numPr>
      </w:pPr>
      <w:r>
        <w:rPr>
          <w:b/>
        </w:rPr>
        <w:t xml:space="preserve">PROOFS OF EVIDENCE: </w:t>
      </w:r>
      <w:r>
        <w:t xml:space="preserve">The proofs of evidence or evidence in proof means the names, addresses and written statements of the witnesses, that the prosecution wishes to call and the list of exhibits, </w:t>
      </w:r>
      <w:proofErr w:type="gramStart"/>
      <w:r>
        <w:t>If</w:t>
      </w:r>
      <w:proofErr w:type="gramEnd"/>
      <w:r>
        <w:t xml:space="preserve"> any, that the prosecution wishes to put evidence at the trial.  Photocopies of the list of the witnesses, the written statements they made to the police and the list of exhibits, if any, </w:t>
      </w:r>
      <w:proofErr w:type="gramStart"/>
      <w:r>
        <w:t>are usually attached</w:t>
      </w:r>
      <w:proofErr w:type="gramEnd"/>
      <w:r>
        <w:t xml:space="preserve"> to the information filed by the state. The real essence of attaching these proofs of </w:t>
      </w:r>
      <w:r w:rsidR="00FA0A0C">
        <w:t>evidence</w:t>
      </w:r>
      <w:r>
        <w:t xml:space="preserve"> is the put the accused on notice as to the nature of the case against him, to enable him take steps to prepare and state his defence. This is fundamental right under the fair hearing provisions of the Nigerian constitution.</w:t>
      </w:r>
    </w:p>
    <w:p w:rsidR="008D6110" w:rsidRDefault="008D6110" w:rsidP="008D6110">
      <w:pPr>
        <w:pStyle w:val="ListParagraph"/>
        <w:numPr>
          <w:ilvl w:val="0"/>
          <w:numId w:val="4"/>
        </w:numPr>
      </w:pPr>
      <w:r>
        <w:rPr>
          <w:b/>
        </w:rPr>
        <w:t xml:space="preserve">ARRAIGNMENT AND PLEA: </w:t>
      </w:r>
      <w:r>
        <w:t>Arraignment is the calling of an accused person formally before the court by the name at the beginn</w:t>
      </w:r>
      <w:r w:rsidR="00897283">
        <w:t xml:space="preserve">ing of the criminal proceedings, to read to him the indictment or information brought </w:t>
      </w:r>
      <w:proofErr w:type="gramStart"/>
      <w:r w:rsidR="00897283">
        <w:t>against him and to ask him whether he pleads guilty or not guilty</w:t>
      </w:r>
      <w:proofErr w:type="gramEnd"/>
      <w:r w:rsidR="00897283">
        <w:t xml:space="preserve">. In other words, </w:t>
      </w:r>
      <w:r w:rsidR="00FA0A0C">
        <w:t>arraignment</w:t>
      </w:r>
      <w:r w:rsidR="00897283">
        <w:t xml:space="preserve"> means, the registrar or the other officer of </w:t>
      </w:r>
      <w:proofErr w:type="spellStart"/>
      <w:r w:rsidR="00897283">
        <w:t>ourt</w:t>
      </w:r>
      <w:proofErr w:type="spellEnd"/>
      <w:r w:rsidR="00897283">
        <w:t xml:space="preserve"> calling the accused by name while the accused is standing in the dock and reading over and explaining the charge or information to the accused in a satisfactory way and asking the accused to make his plea thereto instantly. This called the arraignment of a person before the court.</w:t>
      </w:r>
    </w:p>
    <w:p w:rsidR="00897283" w:rsidRDefault="00897283" w:rsidP="008D6110">
      <w:pPr>
        <w:pStyle w:val="ListParagraph"/>
        <w:numPr>
          <w:ilvl w:val="0"/>
          <w:numId w:val="4"/>
        </w:numPr>
      </w:pPr>
      <w:r w:rsidRPr="00CE0457">
        <w:rPr>
          <w:b/>
        </w:rPr>
        <w:t>PLEA OF GUILTY</w:t>
      </w:r>
      <w:r>
        <w:t xml:space="preserve">: When an accused person pleads guilty, the counsel for the prosecution will give the court a summary of the evidence together with details of the accused </w:t>
      </w:r>
      <w:proofErr w:type="gramStart"/>
      <w:r>
        <w:t>persons</w:t>
      </w:r>
      <w:proofErr w:type="gramEnd"/>
      <w:r>
        <w:t xml:space="preserve"> background, that is, character and his criminal record, if any. After this the counsel for the </w:t>
      </w:r>
      <w:r>
        <w:lastRenderedPageBreak/>
        <w:t xml:space="preserve">defence </w:t>
      </w:r>
      <w:r w:rsidR="00FA0A0C">
        <w:t>usually</w:t>
      </w:r>
      <w:r>
        <w:t xml:space="preserve"> makes all his </w:t>
      </w:r>
      <w:proofErr w:type="spellStart"/>
      <w:r>
        <w:t>allocutus</w:t>
      </w:r>
      <w:proofErr w:type="spellEnd"/>
      <w:r>
        <w:t xml:space="preserve"> or plea in mitigation of sentence and the court then passes</w:t>
      </w:r>
      <w:r w:rsidR="00214512">
        <w:t xml:space="preserve"> its sentence</w:t>
      </w:r>
    </w:p>
    <w:p w:rsidR="00214512" w:rsidRDefault="00214512" w:rsidP="008D6110">
      <w:pPr>
        <w:pStyle w:val="ListParagraph"/>
        <w:numPr>
          <w:ilvl w:val="0"/>
          <w:numId w:val="4"/>
        </w:numPr>
      </w:pPr>
      <w:r w:rsidRPr="00CE0457">
        <w:rPr>
          <w:b/>
        </w:rPr>
        <w:t>PLEA OF NOT GUILTY</w:t>
      </w:r>
      <w:r>
        <w:t xml:space="preserve">: When an </w:t>
      </w:r>
      <w:r w:rsidR="00FA0A0C">
        <w:t>accused person</w:t>
      </w:r>
      <w:r>
        <w:t xml:space="preserve"> pleads not guilty, the trial goes on and proceeds.</w:t>
      </w:r>
    </w:p>
    <w:p w:rsidR="00214512" w:rsidRDefault="00214512" w:rsidP="008D6110">
      <w:pPr>
        <w:pStyle w:val="ListParagraph"/>
        <w:numPr>
          <w:ilvl w:val="0"/>
          <w:numId w:val="4"/>
        </w:numPr>
      </w:pPr>
      <w:r w:rsidRPr="00CE0457">
        <w:rPr>
          <w:b/>
        </w:rPr>
        <w:t>PROSECUTION</w:t>
      </w:r>
      <w:r>
        <w:t xml:space="preserve">: The counsel for the prosecution always opens </w:t>
      </w:r>
      <w:r w:rsidR="00FA0A0C">
        <w:t>criminal proceedings</w:t>
      </w:r>
      <w:r>
        <w:t xml:space="preserve"> by calling evidence for the prosecution. He calls his witnesses and examines each in chief, and tenders any exhibit they may have. The witnesses </w:t>
      </w:r>
      <w:proofErr w:type="gramStart"/>
      <w:r>
        <w:t>are in turn cross-examined</w:t>
      </w:r>
      <w:proofErr w:type="gramEnd"/>
      <w:r>
        <w:t xml:space="preserve"> by the defence counsel and re-examined by the prosecuting counsel as may be necessary and the case for the </w:t>
      </w:r>
      <w:r w:rsidR="00FA0A0C">
        <w:t>persecution</w:t>
      </w:r>
      <w:r>
        <w:t xml:space="preserve"> closes.</w:t>
      </w:r>
    </w:p>
    <w:p w:rsidR="00214512" w:rsidRDefault="00214512" w:rsidP="008D6110">
      <w:pPr>
        <w:pStyle w:val="ListParagraph"/>
        <w:numPr>
          <w:ilvl w:val="0"/>
          <w:numId w:val="4"/>
        </w:numPr>
      </w:pPr>
      <w:r w:rsidRPr="00CE0457">
        <w:rPr>
          <w:b/>
        </w:rPr>
        <w:t>SUBMISSION OF “NO CASE TO ANSWER’’</w:t>
      </w:r>
      <w:r>
        <w:t>: At the close of the case for the prosecution, the defence counsel may submit that the prosecution has not</w:t>
      </w:r>
      <w:r w:rsidR="00B7705F">
        <w:t xml:space="preserve"> produced sufficient evidence or mad out a </w:t>
      </w:r>
      <w:r w:rsidR="00B7705F">
        <w:rPr>
          <w:b/>
          <w:i/>
        </w:rPr>
        <w:t>prima facie</w:t>
      </w:r>
      <w:r w:rsidR="00B7705F">
        <w:t xml:space="preserve"> case against the accused and consequently, the accused has no case to answer  and therefore the case should not proceed further. The defence counsel makes the submission by addressing the court. The prosecuting counsel usually replies. The judge then makes a ruling on this submission.</w:t>
      </w:r>
    </w:p>
    <w:p w:rsidR="00B7705F" w:rsidRDefault="00B7705F" w:rsidP="008D6110">
      <w:pPr>
        <w:pStyle w:val="ListParagraph"/>
        <w:numPr>
          <w:ilvl w:val="0"/>
          <w:numId w:val="4"/>
        </w:numPr>
      </w:pPr>
      <w:r w:rsidRPr="00CE0457">
        <w:rPr>
          <w:b/>
        </w:rPr>
        <w:t>DEFENCE</w:t>
      </w:r>
      <w:r>
        <w:t xml:space="preserve">: After the close of the case for the prosecution </w:t>
      </w:r>
      <w:r w:rsidR="00FA0A0C">
        <w:t>and</w:t>
      </w:r>
      <w:r>
        <w:t xml:space="preserve"> failure of a no case submission, if such submission </w:t>
      </w:r>
      <w:proofErr w:type="gramStart"/>
      <w:r>
        <w:t>was made</w:t>
      </w:r>
      <w:proofErr w:type="gramEnd"/>
      <w:r>
        <w:t>, the case for the def</w:t>
      </w:r>
      <w:r w:rsidR="00FA0A0C">
        <w:t>e</w:t>
      </w:r>
      <w:r>
        <w:t>nce then opens. The accused and his witnesses, if any, are one after the other led</w:t>
      </w:r>
      <w:r w:rsidR="003131A3">
        <w:t xml:space="preserve"> </w:t>
      </w:r>
      <w:r>
        <w:t xml:space="preserve">in evidence-in-chief by the </w:t>
      </w:r>
      <w:r w:rsidR="00FA0A0C">
        <w:t>counsel for</w:t>
      </w:r>
      <w:r>
        <w:t xml:space="preserve"> the defence and cross-examined by the prosecuting counsel and re-examined by the counsel for the for the defence as maybe necessary.</w:t>
      </w:r>
    </w:p>
    <w:p w:rsidR="00B7705F" w:rsidRDefault="00B7705F" w:rsidP="008D6110">
      <w:pPr>
        <w:pStyle w:val="ListParagraph"/>
        <w:numPr>
          <w:ilvl w:val="0"/>
          <w:numId w:val="4"/>
        </w:numPr>
      </w:pPr>
      <w:r w:rsidRPr="00CE0457">
        <w:rPr>
          <w:b/>
        </w:rPr>
        <w:t>CLOSING ADDRESSES</w:t>
      </w:r>
      <w:r>
        <w:t xml:space="preserve">: After the close of the case </w:t>
      </w:r>
      <w:r w:rsidR="003131A3">
        <w:t>for</w:t>
      </w:r>
      <w:r>
        <w:t xml:space="preserve"> the defence, the counsel for both sides then make closing speeches by addressing the court from th</w:t>
      </w:r>
      <w:r w:rsidR="00977312">
        <w:t>eir filed written addresses. The prosecution counsel is always the first to address the court. He sums up or reviews the case on both sides.</w:t>
      </w:r>
    </w:p>
    <w:p w:rsidR="00977312" w:rsidRDefault="00977312" w:rsidP="008D6110">
      <w:pPr>
        <w:pStyle w:val="ListParagraph"/>
        <w:numPr>
          <w:ilvl w:val="0"/>
          <w:numId w:val="4"/>
        </w:numPr>
      </w:pPr>
      <w:r w:rsidRPr="00CE0457">
        <w:rPr>
          <w:b/>
        </w:rPr>
        <w:t>JUDGEMENT</w:t>
      </w:r>
      <w:r>
        <w:t xml:space="preserve">: After the closing addresses by counsel for both sides, the judge fixes the judgement for a date </w:t>
      </w:r>
      <w:proofErr w:type="gramStart"/>
      <w:r>
        <w:t>provided that</w:t>
      </w:r>
      <w:proofErr w:type="gramEnd"/>
      <w:r>
        <w:t xml:space="preserve"> it is not a</w:t>
      </w:r>
      <w:r w:rsidR="007E0B95">
        <w:t xml:space="preserve"> summary trial, and the court a</w:t>
      </w:r>
      <w:r>
        <w:t>rises</w:t>
      </w:r>
      <w:r w:rsidR="003131A3">
        <w:t xml:space="preserve"> in adjournments to enable it deliberate, consider or evaluate the totality</w:t>
      </w:r>
      <w:r>
        <w:t xml:space="preserve"> </w:t>
      </w:r>
      <w:r w:rsidR="003131A3">
        <w:t>of evidence in the case.</w:t>
      </w:r>
    </w:p>
    <w:p w:rsidR="003131A3" w:rsidRDefault="003131A3" w:rsidP="008D6110">
      <w:pPr>
        <w:pStyle w:val="ListParagraph"/>
        <w:numPr>
          <w:ilvl w:val="0"/>
          <w:numId w:val="4"/>
        </w:numPr>
      </w:pPr>
      <w:r w:rsidRPr="00CE0457">
        <w:rPr>
          <w:b/>
        </w:rPr>
        <w:t>DISCHARGE</w:t>
      </w:r>
      <w:r>
        <w:t xml:space="preserve">: When an accused person has not been guilty, on merit, the judge will dismiss the information or charges and accordingly discharge and acquit the accused person as provided under the procedure law. On the other </w:t>
      </w:r>
      <w:proofErr w:type="gramStart"/>
      <w:r>
        <w:t>hand</w:t>
      </w:r>
      <w:proofErr w:type="gramEnd"/>
      <w:r>
        <w:t xml:space="preserve"> if the prosecution failed on a technicality, then the court will usually discharge the accused, but not </w:t>
      </w:r>
      <w:r w:rsidR="00FA0A0C">
        <w:t>acquit</w:t>
      </w:r>
      <w:r>
        <w:t xml:space="preserve"> him.</w:t>
      </w:r>
    </w:p>
    <w:p w:rsidR="00FA0A0C" w:rsidRDefault="00FA0A0C" w:rsidP="008D6110">
      <w:pPr>
        <w:pStyle w:val="ListParagraph"/>
        <w:numPr>
          <w:ilvl w:val="0"/>
          <w:numId w:val="4"/>
        </w:numPr>
      </w:pPr>
      <w:bookmarkStart w:id="0" w:name="_GoBack"/>
      <w:r w:rsidRPr="00CE0457">
        <w:rPr>
          <w:b/>
        </w:rPr>
        <w:t>SENTENCE</w:t>
      </w:r>
      <w:bookmarkEnd w:id="0"/>
      <w:r>
        <w:t xml:space="preserve">: Where an accused </w:t>
      </w:r>
      <w:proofErr w:type="gramStart"/>
      <w:r>
        <w:t>is found</w:t>
      </w:r>
      <w:proofErr w:type="gramEnd"/>
      <w:r>
        <w:t xml:space="preserve"> guilty, before passing sentence an </w:t>
      </w:r>
      <w:proofErr w:type="spellStart"/>
      <w:r>
        <w:t>allocutus</w:t>
      </w:r>
      <w:proofErr w:type="spellEnd"/>
      <w:r>
        <w:t xml:space="preserve">, plea for mercy or leniency is usually made by the counsel for the defence. After the </w:t>
      </w:r>
      <w:proofErr w:type="spellStart"/>
      <w:r>
        <w:t>allocutus</w:t>
      </w:r>
      <w:proofErr w:type="spellEnd"/>
      <w:r>
        <w:t>, the judge passes sentence on the accused.</w:t>
      </w:r>
    </w:p>
    <w:p w:rsidR="00FA0A0C" w:rsidRDefault="00FA0A0C" w:rsidP="00FA0A0C"/>
    <w:p w:rsidR="00FA0A0C" w:rsidRDefault="00632C47" w:rsidP="00FA0A0C">
      <w:r>
        <w:t>1b Remedy available to the accused after imposition of sentence are</w:t>
      </w:r>
      <w:proofErr w:type="gramStart"/>
      <w:r>
        <w:t>;</w:t>
      </w:r>
      <w:proofErr w:type="gramEnd"/>
    </w:p>
    <w:p w:rsidR="00632C47" w:rsidRDefault="00632C47" w:rsidP="00632C47">
      <w:pPr>
        <w:pStyle w:val="ListParagraph"/>
        <w:ind w:left="915"/>
      </w:pPr>
      <w:r>
        <w:t xml:space="preserve">a) Correcting Clear Errors; </w:t>
      </w:r>
      <w:r w:rsidR="007616CE">
        <w:t>within</w:t>
      </w:r>
      <w:r>
        <w:t xml:space="preserve"> 14 days after sentencing, the court may correct a sentence that resulted from arithmetical, </w:t>
      </w:r>
      <w:r w:rsidR="007616CE">
        <w:t>technical, or</w:t>
      </w:r>
      <w:r>
        <w:t xml:space="preserve"> other error.</w:t>
      </w:r>
    </w:p>
    <w:p w:rsidR="00632C47" w:rsidRDefault="00632C47" w:rsidP="00632C47">
      <w:pPr>
        <w:pStyle w:val="ListParagraph"/>
        <w:ind w:left="915"/>
      </w:pPr>
      <w:r>
        <w:t>b) Reducing a sentence for substantial assistance</w:t>
      </w:r>
      <w:proofErr w:type="gramStart"/>
      <w:r>
        <w:t>;</w:t>
      </w:r>
      <w:proofErr w:type="gramEnd"/>
      <w:r>
        <w:t xml:space="preserve"> </w:t>
      </w:r>
    </w:p>
    <w:p w:rsidR="00632C47" w:rsidRDefault="00632C47" w:rsidP="00632C47">
      <w:pPr>
        <w:pStyle w:val="ListParagraph"/>
        <w:ind w:left="915"/>
      </w:pPr>
      <w:r>
        <w:t xml:space="preserve">     -Upon the </w:t>
      </w:r>
      <w:r w:rsidR="007616CE">
        <w:t>government’s</w:t>
      </w:r>
      <w:r>
        <w:t xml:space="preserve"> motion made within one year of sentencing, the court may reduce a sentence if the defendant, after sentencing, provided substantial</w:t>
      </w:r>
      <w:r w:rsidR="007616CE">
        <w:t xml:space="preserve"> assistance in investigating or prosecuting another person.</w:t>
      </w:r>
    </w:p>
    <w:p w:rsidR="007616CE" w:rsidRDefault="007616CE" w:rsidP="00632C47">
      <w:pPr>
        <w:pStyle w:val="ListParagraph"/>
        <w:ind w:left="915"/>
      </w:pPr>
      <w:r>
        <w:t xml:space="preserve">      - Evaluating subsa8ntial assistance. In evaluating whether the defendant has provided substantial assistance, the court may consider the defendants presentence assistance</w:t>
      </w:r>
    </w:p>
    <w:p w:rsidR="007616CE" w:rsidRDefault="007616CE" w:rsidP="00632C47">
      <w:pPr>
        <w:pStyle w:val="ListParagraph"/>
        <w:ind w:left="915"/>
      </w:pPr>
      <w:r>
        <w:lastRenderedPageBreak/>
        <w:t xml:space="preserve">       - Below Statutory Minimum. When acting under Rule 35(b), the court may reduce the sentence to a level below the minimum sentence established by statute.</w:t>
      </w:r>
    </w:p>
    <w:p w:rsidR="007616CE" w:rsidRDefault="007616CE" w:rsidP="00632C47">
      <w:pPr>
        <w:pStyle w:val="ListParagraph"/>
        <w:ind w:left="915"/>
      </w:pPr>
    </w:p>
    <w:p w:rsidR="007616CE" w:rsidRDefault="007616CE" w:rsidP="00632C47">
      <w:pPr>
        <w:pStyle w:val="ListParagraph"/>
        <w:ind w:left="915"/>
      </w:pPr>
    </w:p>
    <w:p w:rsidR="007616CE" w:rsidRDefault="007616CE" w:rsidP="00632C47">
      <w:pPr>
        <w:pStyle w:val="ListParagraph"/>
        <w:ind w:left="915"/>
      </w:pPr>
    </w:p>
    <w:p w:rsidR="007616CE" w:rsidRDefault="007616CE" w:rsidP="007616CE">
      <w:r>
        <w:t>2. Methods</w:t>
      </w:r>
      <w:r>
        <w:t xml:space="preserve"> by which civil proceedings </w:t>
      </w:r>
      <w:proofErr w:type="gramStart"/>
      <w:r>
        <w:t>may be commenced</w:t>
      </w:r>
      <w:proofErr w:type="gramEnd"/>
      <w:r>
        <w:t xml:space="preserve"> in the High court</w:t>
      </w:r>
      <w:r>
        <w:t xml:space="preserve">;                   </w:t>
      </w:r>
      <w:r w:rsidR="00D438A8">
        <w:t xml:space="preserve">                           </w:t>
      </w:r>
    </w:p>
    <w:p w:rsidR="007616CE" w:rsidRDefault="00D438A8" w:rsidP="00632C47">
      <w:pPr>
        <w:pStyle w:val="ListParagraph"/>
        <w:ind w:left="915"/>
      </w:pPr>
      <w:r>
        <w:t xml:space="preserve">WRIT OF SUMMON; A writ of summons usually called “a writ” is a command to the defendant to enter an appearance in an action brought by the plaintiff. It contains the name of the high court, the judicial division and the </w:t>
      </w:r>
      <w:proofErr w:type="gramStart"/>
      <w:r>
        <w:t>names  of</w:t>
      </w:r>
      <w:proofErr w:type="gramEnd"/>
      <w:r>
        <w:t xml:space="preserve"> the parties to the case. It commands the defendant to enter an appearance personally or a solicitor and states may give that in case of default of default appearance the plaintiff may proceed with the action and judgement in the </w:t>
      </w:r>
      <w:proofErr w:type="gramStart"/>
      <w:r>
        <w:t>defendants</w:t>
      </w:r>
      <w:proofErr w:type="gramEnd"/>
      <w:r>
        <w:t xml:space="preserve"> absence.</w:t>
      </w:r>
    </w:p>
    <w:p w:rsidR="00D438A8" w:rsidRDefault="00D438A8" w:rsidP="00632C47">
      <w:pPr>
        <w:pStyle w:val="ListParagraph"/>
        <w:ind w:left="915"/>
      </w:pPr>
    </w:p>
    <w:p w:rsidR="00D438A8" w:rsidRDefault="00CC7CF5" w:rsidP="00632C47">
      <w:pPr>
        <w:pStyle w:val="ListParagraph"/>
        <w:ind w:left="915"/>
      </w:pPr>
      <w:r>
        <w:t>ORIGINATING SUMMONS</w:t>
      </w:r>
      <w:proofErr w:type="gramStart"/>
      <w:r>
        <w:t>;</w:t>
      </w:r>
      <w:proofErr w:type="gramEnd"/>
      <w:r w:rsidR="00D438A8">
        <w:t xml:space="preserve"> </w:t>
      </w:r>
      <w:r>
        <w:t>an</w:t>
      </w:r>
      <w:r w:rsidR="00D438A8">
        <w:t xml:space="preserve"> originating summon</w:t>
      </w:r>
      <w:r w:rsidR="000E7583">
        <w:t xml:space="preserve"> is summon other than a summons in a pending cause or matter. It is </w:t>
      </w:r>
      <w:proofErr w:type="gramStart"/>
      <w:r w:rsidR="000E7583">
        <w:t>a summon</w:t>
      </w:r>
      <w:proofErr w:type="gramEnd"/>
      <w:r w:rsidR="000E7583">
        <w:t xml:space="preserve"> which originates in an action. It is expressly provided in the high court rules that any person who claims to be </w:t>
      </w:r>
      <w:r>
        <w:t>interested</w:t>
      </w:r>
      <w:r w:rsidR="000E7583">
        <w:t xml:space="preserve"> under a deed. Will or other written instruments may apply by originating summons for the determination of any question of construction </w:t>
      </w:r>
      <w:r>
        <w:t>arising</w:t>
      </w:r>
      <w:r w:rsidR="000E7583">
        <w:t xml:space="preserve"> under the instrument.</w:t>
      </w:r>
    </w:p>
    <w:p w:rsidR="000E7583" w:rsidRDefault="000E7583" w:rsidP="00632C47">
      <w:pPr>
        <w:pStyle w:val="ListParagraph"/>
        <w:ind w:left="915"/>
      </w:pPr>
    </w:p>
    <w:p w:rsidR="000E7583" w:rsidRDefault="000E7583" w:rsidP="00632C47">
      <w:pPr>
        <w:pStyle w:val="ListParagraph"/>
        <w:ind w:left="915"/>
      </w:pPr>
      <w:r>
        <w:t xml:space="preserve">ORIGINATING NOTICE OF </w:t>
      </w:r>
      <w:proofErr w:type="gramStart"/>
      <w:r>
        <w:t>MOTION;</w:t>
      </w:r>
      <w:proofErr w:type="gramEnd"/>
      <w:r>
        <w:t xml:space="preserve"> An originating notice</w:t>
      </w:r>
      <w:r w:rsidR="00CC7CF5">
        <w:t xml:space="preserve"> </w:t>
      </w:r>
      <w:r>
        <w:t xml:space="preserve">of motion is a notice of motion is a notice of motion by which an action commences. In general, where leave to apply for an order </w:t>
      </w:r>
      <w:r w:rsidRPr="000E7583">
        <w:rPr>
          <w:i/>
        </w:rPr>
        <w:t>mandamus</w:t>
      </w:r>
      <w:r w:rsidRPr="000E7583">
        <w:t xml:space="preserve"> </w:t>
      </w:r>
      <w:r>
        <w:t xml:space="preserve">prohibition or </w:t>
      </w:r>
      <w:r>
        <w:rPr>
          <w:i/>
        </w:rPr>
        <w:t>certio</w:t>
      </w:r>
      <w:r w:rsidR="00CC7CF5">
        <w:rPr>
          <w:i/>
        </w:rPr>
        <w:t xml:space="preserve">rari </w:t>
      </w:r>
      <w:proofErr w:type="gramStart"/>
      <w:r w:rsidR="00CC7CF5">
        <w:t>has been granted</w:t>
      </w:r>
      <w:proofErr w:type="gramEnd"/>
      <w:r w:rsidR="00CC7CF5">
        <w:t>, the application must be made by notice of motion.</w:t>
      </w:r>
    </w:p>
    <w:p w:rsidR="00CC7CF5" w:rsidRDefault="00CC7CF5" w:rsidP="00632C47">
      <w:pPr>
        <w:pStyle w:val="ListParagraph"/>
        <w:ind w:left="915"/>
      </w:pPr>
    </w:p>
    <w:p w:rsidR="00CC7CF5" w:rsidRPr="00CC7CF5" w:rsidRDefault="00CC7CF5" w:rsidP="00632C47">
      <w:pPr>
        <w:pStyle w:val="ListParagraph"/>
        <w:ind w:left="915"/>
        <w:rPr>
          <w:b/>
        </w:rPr>
      </w:pPr>
      <w:r>
        <w:t xml:space="preserve">PETITION; </w:t>
      </w:r>
      <w:proofErr w:type="gramStart"/>
      <w:r>
        <w:t>An</w:t>
      </w:r>
      <w:proofErr w:type="gramEnd"/>
      <w:r>
        <w:t xml:space="preserve"> action may be commenced by petition. For </w:t>
      </w:r>
      <w:proofErr w:type="gramStart"/>
      <w:r>
        <w:t>example</w:t>
      </w:r>
      <w:proofErr w:type="gramEnd"/>
      <w:r>
        <w:t xml:space="preserve"> divorce and electoral proceedings are commenced by petition.</w:t>
      </w:r>
    </w:p>
    <w:p w:rsidR="00452E33" w:rsidRDefault="00632C47" w:rsidP="00632C47">
      <w:r>
        <w:t xml:space="preserve">                           </w:t>
      </w:r>
    </w:p>
    <w:p w:rsidR="00F44540" w:rsidRDefault="00F44540"/>
    <w:sectPr w:rsidR="00F44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4AB"/>
    <w:multiLevelType w:val="hybridMultilevel"/>
    <w:tmpl w:val="EE14F2C2"/>
    <w:lvl w:ilvl="0" w:tplc="9578CBB2">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1F827CCB"/>
    <w:multiLevelType w:val="hybridMultilevel"/>
    <w:tmpl w:val="9A448A22"/>
    <w:lvl w:ilvl="0" w:tplc="A07C4E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007C4"/>
    <w:multiLevelType w:val="hybridMultilevel"/>
    <w:tmpl w:val="153CFDCA"/>
    <w:lvl w:ilvl="0" w:tplc="A07C4E62">
      <w:start w:val="1"/>
      <w:numFmt w:val="bullet"/>
      <w:lvlText w:val="-"/>
      <w:lvlJc w:val="left"/>
      <w:pPr>
        <w:ind w:left="1890" w:hanging="360"/>
      </w:pPr>
      <w:rPr>
        <w:rFonts w:ascii="Calibri" w:eastAsiaTheme="minorHAnsi" w:hAnsi="Calibri" w:cs="Calibri"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3" w15:restartNumberingAfterBreak="0">
    <w:nsid w:val="518E0B4B"/>
    <w:multiLevelType w:val="hybridMultilevel"/>
    <w:tmpl w:val="C3DA33BE"/>
    <w:lvl w:ilvl="0" w:tplc="389AEF7C">
      <w:start w:val="1"/>
      <w:numFmt w:val="bullet"/>
      <w:lvlText w:val="-"/>
      <w:lvlJc w:val="left"/>
      <w:pPr>
        <w:ind w:left="570" w:hanging="360"/>
      </w:pPr>
      <w:rPr>
        <w:rFonts w:ascii="Calibri" w:eastAsiaTheme="minorHAns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59514663"/>
    <w:multiLevelType w:val="hybridMultilevel"/>
    <w:tmpl w:val="1AA6A5BE"/>
    <w:lvl w:ilvl="0" w:tplc="A07C4E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F5686"/>
    <w:multiLevelType w:val="hybridMultilevel"/>
    <w:tmpl w:val="68028938"/>
    <w:lvl w:ilvl="0" w:tplc="A4B06064">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6" w15:restartNumberingAfterBreak="0">
    <w:nsid w:val="77292DD1"/>
    <w:multiLevelType w:val="hybridMultilevel"/>
    <w:tmpl w:val="236E766A"/>
    <w:lvl w:ilvl="0" w:tplc="389AEF7C">
      <w:start w:val="1"/>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7" w15:restartNumberingAfterBreak="0">
    <w:nsid w:val="7FF066F6"/>
    <w:multiLevelType w:val="hybridMultilevel"/>
    <w:tmpl w:val="6E7E4542"/>
    <w:lvl w:ilvl="0" w:tplc="A07C4E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40"/>
    <w:rsid w:val="000E7583"/>
    <w:rsid w:val="00214512"/>
    <w:rsid w:val="003131A3"/>
    <w:rsid w:val="00452E33"/>
    <w:rsid w:val="00632C47"/>
    <w:rsid w:val="007616CE"/>
    <w:rsid w:val="007E0B95"/>
    <w:rsid w:val="008119A4"/>
    <w:rsid w:val="00897283"/>
    <w:rsid w:val="008D6110"/>
    <w:rsid w:val="00977312"/>
    <w:rsid w:val="00B7705F"/>
    <w:rsid w:val="00CC7CF5"/>
    <w:rsid w:val="00CE0457"/>
    <w:rsid w:val="00D438A8"/>
    <w:rsid w:val="00E035C5"/>
    <w:rsid w:val="00E71C8D"/>
    <w:rsid w:val="00F44540"/>
    <w:rsid w:val="00FA0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D500"/>
  <w15:chartTrackingRefBased/>
  <w15:docId w15:val="{AC266DA4-2BF0-4F64-ACC1-CF26596A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2020-04-16T07:36:00Z</dcterms:created>
  <dcterms:modified xsi:type="dcterms:W3CDTF">2020-04-16T10:50:00Z</dcterms:modified>
</cp:coreProperties>
</file>