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F0" w:rsidRPr="004664DE" w:rsidRDefault="00D21E25">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NAME</w:t>
      </w:r>
      <w:r w:rsidR="000D01A7">
        <w:rPr>
          <w:rFonts w:cs="Calibri"/>
          <w:b/>
          <w:bCs/>
          <w:sz w:val="48"/>
          <w:szCs w:val="48"/>
        </w:rPr>
        <w:t xml:space="preserve">: </w:t>
      </w:r>
      <w:proofErr w:type="spellStart"/>
      <w:r w:rsidR="000D01A7">
        <w:rPr>
          <w:rFonts w:cs="Calibri"/>
          <w:b/>
          <w:bCs/>
          <w:sz w:val="48"/>
          <w:szCs w:val="48"/>
        </w:rPr>
        <w:t>Owo</w:t>
      </w:r>
      <w:proofErr w:type="spellEnd"/>
      <w:r w:rsidR="000D01A7">
        <w:rPr>
          <w:rFonts w:cs="Calibri"/>
          <w:b/>
          <w:bCs/>
          <w:sz w:val="48"/>
          <w:szCs w:val="48"/>
        </w:rPr>
        <w:t xml:space="preserve"> </w:t>
      </w:r>
      <w:proofErr w:type="spellStart"/>
      <w:r w:rsidR="000D01A7">
        <w:rPr>
          <w:rFonts w:cs="Calibri"/>
          <w:b/>
          <w:bCs/>
          <w:sz w:val="48"/>
          <w:szCs w:val="48"/>
        </w:rPr>
        <w:t>Ememobong</w:t>
      </w:r>
      <w:proofErr w:type="spellEnd"/>
      <w:r w:rsidR="000D01A7">
        <w:rPr>
          <w:rFonts w:cs="Calibri"/>
          <w:b/>
          <w:bCs/>
          <w:sz w:val="48"/>
          <w:szCs w:val="48"/>
        </w:rPr>
        <w:t xml:space="preserve"> Johnson</w:t>
      </w:r>
    </w:p>
    <w:p w:rsidR="00F615F0" w:rsidRPr="004664DE" w:rsidRDefault="00C323D1">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DEPARTMENT</w:t>
      </w:r>
      <w:r w:rsidR="000D01A7">
        <w:rPr>
          <w:rFonts w:cs="Calibri"/>
          <w:b/>
          <w:bCs/>
          <w:sz w:val="48"/>
          <w:szCs w:val="48"/>
        </w:rPr>
        <w:t>: Mechanical</w:t>
      </w:r>
      <w:r w:rsidRPr="004664DE">
        <w:rPr>
          <w:rFonts w:cs="Calibri"/>
          <w:b/>
          <w:bCs/>
          <w:sz w:val="48"/>
          <w:szCs w:val="48"/>
        </w:rPr>
        <w:t xml:space="preserve"> Engineering </w:t>
      </w:r>
    </w:p>
    <w:p w:rsidR="00F615F0" w:rsidRPr="004664DE" w:rsidRDefault="00D21E25">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MATRIC NO</w:t>
      </w:r>
      <w:r w:rsidR="000D01A7">
        <w:rPr>
          <w:rFonts w:cs="Calibri"/>
          <w:b/>
          <w:bCs/>
          <w:sz w:val="48"/>
          <w:szCs w:val="48"/>
        </w:rPr>
        <w:t>: 18/ENG08/018</w:t>
      </w:r>
    </w:p>
    <w:p w:rsidR="00F615F0" w:rsidRPr="004664DE" w:rsidRDefault="00C323D1">
      <w:pPr>
        <w:widowControl w:val="0"/>
        <w:autoSpaceDE w:val="0"/>
        <w:autoSpaceDN w:val="0"/>
        <w:adjustRightInd w:val="0"/>
        <w:spacing w:after="200" w:line="276" w:lineRule="auto"/>
        <w:rPr>
          <w:rFonts w:cs="Calibri"/>
          <w:b/>
          <w:bCs/>
          <w:sz w:val="48"/>
          <w:szCs w:val="48"/>
        </w:rPr>
      </w:pPr>
      <w:r w:rsidRPr="004664DE">
        <w:rPr>
          <w:rFonts w:cs="Calibri"/>
          <w:b/>
          <w:bCs/>
          <w:sz w:val="48"/>
          <w:szCs w:val="48"/>
          <w:u w:val="double"/>
        </w:rPr>
        <w:t>COUR</w:t>
      </w:r>
      <w:r w:rsidR="00D21E25" w:rsidRPr="004664DE">
        <w:rPr>
          <w:rFonts w:cs="Calibri"/>
          <w:b/>
          <w:bCs/>
          <w:sz w:val="48"/>
          <w:szCs w:val="48"/>
          <w:u w:val="double"/>
        </w:rPr>
        <w:t>SE TITLE</w:t>
      </w:r>
      <w:r w:rsidR="00D21E25" w:rsidRPr="004664DE">
        <w:rPr>
          <w:rFonts w:cs="Calibri"/>
          <w:b/>
          <w:bCs/>
          <w:sz w:val="48"/>
          <w:szCs w:val="48"/>
        </w:rPr>
        <w:t>: Engineering</w:t>
      </w:r>
      <w:r w:rsidR="000D01A7">
        <w:rPr>
          <w:rFonts w:cs="Calibri"/>
          <w:b/>
          <w:bCs/>
          <w:sz w:val="48"/>
          <w:szCs w:val="48"/>
        </w:rPr>
        <w:t xml:space="preserve"> in</w:t>
      </w:r>
      <w:bookmarkStart w:id="0" w:name="_GoBack"/>
      <w:bookmarkEnd w:id="0"/>
      <w:r w:rsidR="00D21E25" w:rsidRPr="004664DE">
        <w:rPr>
          <w:rFonts w:cs="Calibri"/>
          <w:b/>
          <w:bCs/>
          <w:sz w:val="48"/>
          <w:szCs w:val="48"/>
        </w:rPr>
        <w:t xml:space="preserve"> society </w:t>
      </w:r>
    </w:p>
    <w:p w:rsidR="00F615F0" w:rsidRPr="004664DE" w:rsidRDefault="00D21E25">
      <w:pPr>
        <w:widowControl w:val="0"/>
        <w:autoSpaceDE w:val="0"/>
        <w:autoSpaceDN w:val="0"/>
        <w:adjustRightInd w:val="0"/>
        <w:spacing w:after="200" w:line="240" w:lineRule="auto"/>
        <w:rPr>
          <w:rFonts w:cs="Calibri"/>
          <w:b/>
          <w:bCs/>
          <w:sz w:val="48"/>
          <w:szCs w:val="48"/>
        </w:rPr>
      </w:pPr>
      <w:r w:rsidRPr="004664DE">
        <w:rPr>
          <w:rFonts w:cs="Calibri"/>
          <w:b/>
          <w:bCs/>
          <w:sz w:val="48"/>
          <w:szCs w:val="48"/>
          <w:u w:val="double"/>
        </w:rPr>
        <w:t>COURSE CODE</w:t>
      </w:r>
      <w:r w:rsidRPr="004664DE">
        <w:rPr>
          <w:rFonts w:cs="Calibri"/>
          <w:b/>
          <w:bCs/>
          <w:sz w:val="48"/>
          <w:szCs w:val="48"/>
        </w:rPr>
        <w:t xml:space="preserve">: ENG </w:t>
      </w:r>
      <w:r w:rsidR="004664DE">
        <w:rPr>
          <w:rFonts w:cs="Calibri"/>
          <w:b/>
          <w:bCs/>
          <w:sz w:val="48"/>
          <w:szCs w:val="48"/>
        </w:rPr>
        <w:t>284</w:t>
      </w:r>
    </w:p>
    <w:p w:rsidR="00F615F0" w:rsidRDefault="00F615F0"/>
    <w:p w:rsidR="00F615F0" w:rsidRDefault="00F615F0"/>
    <w:p w:rsidR="00F615F0" w:rsidRDefault="00F615F0"/>
    <w:p w:rsidR="00F615F0" w:rsidRDefault="00F615F0"/>
    <w:p w:rsidR="00F615F0" w:rsidRPr="004664DE" w:rsidRDefault="00C323D1" w:rsidP="00D21E25">
      <w:pPr>
        <w:pStyle w:val="ListParagraph"/>
        <w:numPr>
          <w:ilvl w:val="0"/>
          <w:numId w:val="32"/>
        </w:numPr>
        <w:autoSpaceDE w:val="0"/>
        <w:autoSpaceDN w:val="0"/>
        <w:adjustRightInd w:val="0"/>
        <w:spacing w:after="0" w:line="240" w:lineRule="auto"/>
        <w:jc w:val="center"/>
        <w:rPr>
          <w:rFonts w:ascii="Times New Roman" w:eastAsia="Calibri" w:hAnsi="Times New Roman"/>
          <w:color w:val="000000"/>
          <w:sz w:val="36"/>
          <w:szCs w:val="36"/>
          <w:u w:val="double"/>
        </w:rPr>
      </w:pPr>
      <w:r w:rsidRPr="004664DE">
        <w:rPr>
          <w:rFonts w:ascii="Times New Roman" w:eastAsia="Calibri" w:hAnsi="Times New Roman"/>
          <w:b/>
          <w:bCs/>
          <w:color w:val="000000"/>
          <w:sz w:val="36"/>
          <w:szCs w:val="36"/>
          <w:u w:val="double"/>
        </w:rPr>
        <w:t xml:space="preserve">ALFA-BELGORE HALL REHABILITATION PROJECT </w:t>
      </w:r>
    </w:p>
    <w:p w:rsidR="00F615F0" w:rsidRDefault="00F615F0"/>
    <w:p w:rsidR="00F615F0" w:rsidRDefault="00C323D1">
      <w:pPr>
        <w:rPr>
          <w:rFonts w:ascii="Times New Roman" w:hAnsi="Times New Roman"/>
          <w:b/>
          <w:sz w:val="28"/>
          <w:szCs w:val="28"/>
          <w:u w:val="single"/>
        </w:rPr>
      </w:pPr>
      <w:r>
        <w:rPr>
          <w:rFonts w:ascii="Times New Roman" w:hAnsi="Times New Roman"/>
          <w:b/>
          <w:sz w:val="28"/>
          <w:szCs w:val="28"/>
          <w:u w:val="single"/>
        </w:rPr>
        <w:t>SCOPE OF WORKS</w:t>
      </w:r>
    </w:p>
    <w:p w:rsidR="00F615F0" w:rsidRDefault="00F615F0">
      <w:pPr>
        <w:rPr>
          <w:rFonts w:ascii="Times New Roman" w:hAnsi="Times New Roman"/>
          <w:b/>
          <w:sz w:val="24"/>
          <w:szCs w:val="24"/>
        </w:rPr>
      </w:pPr>
    </w:p>
    <w:p w:rsidR="00F615F0" w:rsidRPr="00D21E25" w:rsidRDefault="00C323D1">
      <w:pPr>
        <w:rPr>
          <w:rFonts w:ascii="Arial" w:hAnsi="Arial" w:cs="Arial"/>
          <w:b/>
          <w:sz w:val="20"/>
          <w:szCs w:val="20"/>
          <w:u w:val="double"/>
        </w:rPr>
      </w:pPr>
      <w:r w:rsidRPr="00D21E25">
        <w:rPr>
          <w:rFonts w:ascii="Arial" w:hAnsi="Arial" w:cs="Arial"/>
          <w:b/>
          <w:sz w:val="20"/>
          <w:szCs w:val="20"/>
          <w:u w:val="double"/>
        </w:rPr>
        <w:t>BACKGROUND</w:t>
      </w:r>
    </w:p>
    <w:p w:rsidR="00F615F0" w:rsidRDefault="00C323D1">
      <w:pPr>
        <w:rPr>
          <w:rFonts w:ascii="Arial" w:hAnsi="Arial" w:cs="Arial"/>
          <w:sz w:val="20"/>
          <w:szCs w:val="20"/>
        </w:rPr>
      </w:pPr>
      <w:r>
        <w:rPr>
          <w:rFonts w:ascii="Arial" w:hAnsi="Arial" w:cs="Arial"/>
          <w:sz w:val="20"/>
          <w:szCs w:val="20"/>
        </w:rPr>
        <w:t xml:space="preserve">Studies were carried out to establish the CHP container handling capacity short and long term. Ojo’s Preliminary Design Report dated January 28th, 2020 details the requirement. From those studies, ABUAD has identified a phasing scenario that will allow the current Hall Operator to pursue its activities. This scenario contains various phases, one of which is to carry demolition work of various buildings, and ancillary works such as fencing, sewage holding tanks etc.  </w:t>
      </w:r>
    </w:p>
    <w:p w:rsidR="00F615F0" w:rsidRPr="00D21E25" w:rsidRDefault="00C323D1">
      <w:pPr>
        <w:rPr>
          <w:rFonts w:ascii="Arial" w:hAnsi="Arial" w:cs="Arial"/>
          <w:b/>
          <w:sz w:val="24"/>
          <w:szCs w:val="24"/>
          <w:u w:val="double"/>
        </w:rPr>
      </w:pPr>
      <w:r w:rsidRPr="00D21E25">
        <w:rPr>
          <w:rFonts w:ascii="Arial" w:hAnsi="Arial" w:cs="Arial"/>
          <w:b/>
          <w:sz w:val="20"/>
          <w:szCs w:val="20"/>
          <w:u w:val="double"/>
        </w:rPr>
        <w:t xml:space="preserve">Project Objectives </w:t>
      </w:r>
    </w:p>
    <w:p w:rsidR="00F615F0" w:rsidRDefault="00C323D1">
      <w:pPr>
        <w:rPr>
          <w:rFonts w:ascii="Arial" w:hAnsi="Arial" w:cs="Arial"/>
          <w:sz w:val="20"/>
          <w:szCs w:val="20"/>
        </w:rPr>
      </w:pPr>
      <w:r>
        <w:rPr>
          <w:rFonts w:ascii="Arial" w:hAnsi="Arial" w:cs="Arial"/>
          <w:sz w:val="20"/>
          <w:szCs w:val="20"/>
        </w:rPr>
        <w:t xml:space="preserve">ABUAD desires to contract with an experienced Consultant for the services as described in this Schedule of Requirement (SOR) at Afe Babalola University, Ado-Ekiti, and Ekiti State, Nigeria.  </w:t>
      </w:r>
    </w:p>
    <w:p w:rsidR="00F615F0" w:rsidRDefault="00C323D1">
      <w:pPr>
        <w:rPr>
          <w:rFonts w:ascii="Arial" w:hAnsi="Arial" w:cs="Arial"/>
          <w:sz w:val="20"/>
          <w:szCs w:val="20"/>
        </w:rPr>
      </w:pPr>
      <w:r>
        <w:rPr>
          <w:rFonts w:ascii="Arial" w:hAnsi="Arial" w:cs="Arial"/>
          <w:sz w:val="20"/>
          <w:szCs w:val="20"/>
        </w:rPr>
        <w:t xml:space="preserve">The objective of this Schedule of Requirement (SOR) is to select an Engineering Consulting Firm that will review the pertinent documents, visit the site and provide a drawing and specifications (D&amp;S), so that ABUAD may prepare a </w:t>
      </w:r>
      <w:r>
        <w:rPr>
          <w:rFonts w:ascii="Arial" w:hAnsi="Arial" w:cs="Arial"/>
          <w:sz w:val="20"/>
          <w:szCs w:val="20"/>
          <w:u w:val="single"/>
        </w:rPr>
        <w:t xml:space="preserve">Drawings &amp; Specifications </w:t>
      </w:r>
      <w:r>
        <w:rPr>
          <w:rFonts w:ascii="Arial" w:hAnsi="Arial" w:cs="Arial"/>
          <w:sz w:val="20"/>
          <w:szCs w:val="20"/>
        </w:rPr>
        <w:t xml:space="preserve">to solicit a Contractor to carry out the demolition work and the container yard reconstruction.  </w:t>
      </w:r>
    </w:p>
    <w:p w:rsidR="00F615F0" w:rsidRDefault="00C323D1">
      <w:pPr>
        <w:rPr>
          <w:rFonts w:ascii="Arial" w:hAnsi="Arial" w:cs="Arial"/>
          <w:sz w:val="20"/>
          <w:szCs w:val="20"/>
        </w:rPr>
      </w:pPr>
      <w:r>
        <w:rPr>
          <w:rFonts w:ascii="Arial" w:hAnsi="Arial" w:cs="Arial"/>
          <w:sz w:val="20"/>
          <w:szCs w:val="20"/>
        </w:rPr>
        <w:t xml:space="preserve"> </w:t>
      </w:r>
    </w:p>
    <w:p w:rsidR="00F615F0" w:rsidRDefault="00C323D1">
      <w:pPr>
        <w:rPr>
          <w:rFonts w:ascii="Arial" w:hAnsi="Arial" w:cs="Arial"/>
          <w:sz w:val="20"/>
          <w:szCs w:val="20"/>
        </w:rPr>
      </w:pPr>
      <w:r>
        <w:rPr>
          <w:rFonts w:ascii="Arial" w:hAnsi="Arial" w:cs="Arial"/>
          <w:sz w:val="20"/>
          <w:szCs w:val="20"/>
        </w:rPr>
        <w:lastRenderedPageBreak/>
        <w:t xml:space="preserve">The D&amp;S shall be specific on the following point: </w:t>
      </w:r>
    </w:p>
    <w:p w:rsidR="00F615F0" w:rsidRDefault="00C323D1">
      <w:pPr>
        <w:numPr>
          <w:ilvl w:val="2"/>
          <w:numId w:val="1"/>
        </w:numPr>
        <w:rPr>
          <w:rFonts w:ascii="Arial" w:hAnsi="Arial" w:cs="Arial"/>
          <w:sz w:val="20"/>
          <w:szCs w:val="20"/>
        </w:rPr>
      </w:pPr>
      <w:r>
        <w:rPr>
          <w:rFonts w:ascii="Arial" w:hAnsi="Arial" w:cs="Arial"/>
          <w:sz w:val="20"/>
          <w:szCs w:val="20"/>
        </w:rPr>
        <w:t xml:space="preserve">Health and Safety as per ABUAD requirements and international standards; </w:t>
      </w:r>
    </w:p>
    <w:p w:rsidR="00F615F0" w:rsidRDefault="00C323D1">
      <w:pPr>
        <w:numPr>
          <w:ilvl w:val="2"/>
          <w:numId w:val="1"/>
        </w:numPr>
        <w:rPr>
          <w:rFonts w:ascii="Arial" w:hAnsi="Arial" w:cs="Arial"/>
          <w:sz w:val="20"/>
          <w:szCs w:val="20"/>
        </w:rPr>
      </w:pPr>
      <w:r>
        <w:rPr>
          <w:rFonts w:ascii="Arial" w:hAnsi="Arial" w:cs="Arial"/>
          <w:sz w:val="20"/>
          <w:szCs w:val="20"/>
        </w:rPr>
        <w:t xml:space="preserve">Respect of environmental standards; </w:t>
      </w:r>
    </w:p>
    <w:p w:rsidR="00F615F0" w:rsidRDefault="00C323D1">
      <w:pPr>
        <w:numPr>
          <w:ilvl w:val="2"/>
          <w:numId w:val="1"/>
        </w:numPr>
        <w:rPr>
          <w:rFonts w:ascii="Arial" w:hAnsi="Arial" w:cs="Arial"/>
          <w:sz w:val="20"/>
          <w:szCs w:val="20"/>
        </w:rPr>
      </w:pPr>
      <w:r>
        <w:rPr>
          <w:rFonts w:ascii="Arial" w:hAnsi="Arial" w:cs="Arial"/>
          <w:sz w:val="20"/>
          <w:szCs w:val="20"/>
        </w:rPr>
        <w:t xml:space="preserve">The contractor has to haul out the demolition products and dispose of it in accordance with local regulations; </w:t>
      </w:r>
    </w:p>
    <w:p w:rsidR="00F615F0" w:rsidRDefault="00C323D1">
      <w:pPr>
        <w:numPr>
          <w:ilvl w:val="2"/>
          <w:numId w:val="1"/>
        </w:numPr>
        <w:rPr>
          <w:rFonts w:ascii="Arial" w:hAnsi="Arial" w:cs="Arial"/>
          <w:sz w:val="20"/>
          <w:szCs w:val="20"/>
        </w:rPr>
      </w:pPr>
      <w:r>
        <w:rPr>
          <w:rFonts w:ascii="Arial" w:hAnsi="Arial" w:cs="Arial"/>
          <w:sz w:val="20"/>
          <w:szCs w:val="20"/>
        </w:rPr>
        <w:t xml:space="preserve">There shall be no sale of salvaged material within the Hall’s property limits. </w:t>
      </w:r>
    </w:p>
    <w:p w:rsidR="00F615F0" w:rsidRPr="00D21E25" w:rsidRDefault="00C323D1">
      <w:pPr>
        <w:rPr>
          <w:rFonts w:ascii="Arial" w:hAnsi="Arial" w:cs="Arial"/>
          <w:sz w:val="20"/>
          <w:szCs w:val="20"/>
          <w:u w:val="double"/>
        </w:rPr>
      </w:pPr>
      <w:r w:rsidRPr="00D21E25">
        <w:rPr>
          <w:rFonts w:ascii="Arial" w:eastAsia="Arial" w:hAnsi="Arial" w:cs="Arial"/>
          <w:b/>
          <w:color w:val="000000"/>
          <w:sz w:val="20"/>
          <w:u w:val="double"/>
        </w:rPr>
        <w:t xml:space="preserve">Description of Consultant Services </w:t>
      </w:r>
    </w:p>
    <w:p w:rsidR="00F615F0" w:rsidRDefault="00C323D1">
      <w:pPr>
        <w:spacing w:after="13" w:line="240" w:lineRule="auto"/>
        <w:ind w:left="360"/>
        <w:rPr>
          <w:rFonts w:ascii="Arial" w:eastAsia="Arial" w:hAnsi="Arial" w:cs="Arial"/>
          <w:color w:val="000000"/>
          <w:sz w:val="20"/>
        </w:rPr>
      </w:pPr>
      <w:r>
        <w:rPr>
          <w:rFonts w:ascii="Arial" w:eastAsia="Arial" w:hAnsi="Arial" w:cs="Arial"/>
          <w:b/>
          <w:color w:val="000000"/>
          <w:sz w:val="20"/>
        </w:rPr>
        <w:t xml:space="preserve"> </w:t>
      </w:r>
    </w:p>
    <w:p w:rsidR="00F615F0" w:rsidRDefault="00C323D1">
      <w:pPr>
        <w:spacing w:after="0" w:line="232" w:lineRule="auto"/>
        <w:ind w:right="9"/>
        <w:jc w:val="both"/>
        <w:rPr>
          <w:rFonts w:ascii="Arial" w:eastAsia="Arial" w:hAnsi="Arial" w:cs="Arial"/>
          <w:color w:val="000000"/>
          <w:sz w:val="20"/>
        </w:rPr>
      </w:pPr>
      <w:r>
        <w:rPr>
          <w:rFonts w:ascii="Arial" w:eastAsia="Arial" w:hAnsi="Arial" w:cs="Arial"/>
          <w:color w:val="000000"/>
          <w:sz w:val="20"/>
        </w:rPr>
        <w:t>The successful Consultant will perform the work set out in this SOR, and is also expected to be ABUAD’s advisor throughout the build. ABUAD will assume the site supervision during the built. Accordingly, the Consultant may not be associated in any way, including an overlap of principal subcontractors as determined by ABUAD, with any entity or team that submits an offer/proposal on the execution of the work. By making a submitting an offer/proposal, a Consultant agrees to this separation.</w:t>
      </w:r>
      <w:r>
        <w:rPr>
          <w:rFonts w:ascii="Arial" w:eastAsia="Arial" w:hAnsi="Arial" w:cs="Arial"/>
          <w:b/>
          <w:color w:val="000000"/>
          <w:sz w:val="20"/>
        </w:rPr>
        <w:t xml:space="preserve"> </w:t>
      </w:r>
    </w:p>
    <w:p w:rsidR="00F615F0" w:rsidRDefault="00C323D1">
      <w:pPr>
        <w:spacing w:after="15" w:line="240" w:lineRule="auto"/>
        <w:ind w:left="900"/>
        <w:rPr>
          <w:rFonts w:ascii="Arial" w:eastAsia="Arial" w:hAnsi="Arial" w:cs="Arial"/>
          <w:color w:val="000000"/>
          <w:sz w:val="20"/>
        </w:rPr>
      </w:pPr>
      <w:r>
        <w:rPr>
          <w:rFonts w:ascii="Arial" w:eastAsia="Arial" w:hAnsi="Arial" w:cs="Arial"/>
          <w:b/>
          <w:color w:val="000000"/>
          <w:sz w:val="20"/>
        </w:rPr>
        <w:t xml:space="preserve"> </w:t>
      </w:r>
    </w:p>
    <w:p w:rsidR="00F615F0" w:rsidRDefault="00C323D1">
      <w:pPr>
        <w:spacing w:after="14" w:line="240" w:lineRule="auto"/>
        <w:ind w:right="9"/>
        <w:jc w:val="both"/>
        <w:rPr>
          <w:rFonts w:ascii="Arial" w:eastAsia="Arial" w:hAnsi="Arial" w:cs="Arial"/>
          <w:color w:val="000000"/>
          <w:sz w:val="20"/>
        </w:rPr>
      </w:pPr>
      <w:r>
        <w:rPr>
          <w:rFonts w:ascii="Arial" w:eastAsia="Arial" w:hAnsi="Arial" w:cs="Arial"/>
          <w:color w:val="000000"/>
          <w:sz w:val="20"/>
        </w:rPr>
        <w:t>Tasks to be performed or arranged by the Consultant include but are not limited to:</w:t>
      </w:r>
      <w:r>
        <w:rPr>
          <w:rFonts w:ascii="Arial" w:eastAsia="Arial" w:hAnsi="Arial" w:cs="Arial"/>
          <w:b/>
          <w:color w:val="000000"/>
          <w:sz w:val="20"/>
        </w:rPr>
        <w:t xml:space="preserve"> </w:t>
      </w:r>
    </w:p>
    <w:p w:rsidR="00F615F0" w:rsidRDefault="00C323D1">
      <w:pPr>
        <w:spacing w:after="0" w:line="240" w:lineRule="auto"/>
        <w:ind w:left="720"/>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complete review and assessment of the required elements based on the recent studies;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Execute a detailed topographical survey, compile the data, update the existing topographical plan and calculate the offset from WSP’s topographical survey;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Review of relevant available information to characterize the anticipated subsurface conditions.  </w:t>
      </w:r>
    </w:p>
    <w:p w:rsidR="00F615F0" w:rsidRDefault="00C323D1">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 geotechnical study is currently under way and the result will be made available to the </w:t>
      </w:r>
    </w:p>
    <w:p w:rsidR="00F615F0" w:rsidRDefault="00C323D1">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Consultant);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detailed Drawings &amp; Specifications to allow ABUAD to initiate the tendering process for the actual reconstruction works;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Provide a Bill of Quantity (BOQ) as well as a Class “B” estimate;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Consultant is to generate a detailed project schedule in conjunction with ABUAD that will be incorporated into the SOR. The schedule will include key milestones for the complete project delivery;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Coordination and the cooperation of the Consultant with ABUAD will be paramount for the implementation of this project;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 will clearly identify ABUAD and the Consultant’s responsibilities, i.e. communication protocols and expectations, defined project teams, etc. ;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documents will include criteria to ensure that the design and construction will meet and exceed applicable codes and standards, as well all ABUAD specific technical standards, health </w:t>
      </w:r>
    </w:p>
    <w:p w:rsidR="00F615F0" w:rsidRDefault="00C323D1">
      <w:pPr>
        <w:spacing w:after="14" w:line="240" w:lineRule="auto"/>
        <w:ind w:left="895" w:right="9" w:hanging="10"/>
        <w:jc w:val="both"/>
        <w:rPr>
          <w:rFonts w:ascii="Arial" w:eastAsia="Arial" w:hAnsi="Arial" w:cs="Arial"/>
          <w:color w:val="000000"/>
          <w:sz w:val="20"/>
        </w:rPr>
      </w:pPr>
      <w:r>
        <w:rPr>
          <w:rFonts w:ascii="Arial" w:eastAsia="Arial" w:hAnsi="Arial" w:cs="Arial"/>
          <w:color w:val="000000"/>
          <w:sz w:val="20"/>
        </w:rPr>
        <w:t xml:space="preserve">&amp; safety and environmental requirements;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Consultant will work with ABUAD procurement professionals in preparing the non-technical aspects of the SOR; </w:t>
      </w:r>
    </w:p>
    <w:p w:rsidR="00F615F0" w:rsidRDefault="00C323D1">
      <w:pPr>
        <w:numPr>
          <w:ilvl w:val="2"/>
          <w:numId w:val="2"/>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The SOR documents prepared by the Consultant will be in publishable form. </w:t>
      </w:r>
    </w:p>
    <w:p w:rsidR="00F615F0" w:rsidRDefault="00C323D1">
      <w:pPr>
        <w:spacing w:after="13" w:line="240" w:lineRule="auto"/>
        <w:ind w:left="900"/>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9"/>
        <w:jc w:val="both"/>
        <w:rPr>
          <w:rFonts w:ascii="Arial" w:eastAsia="Arial" w:hAnsi="Arial" w:cs="Arial"/>
          <w:color w:val="000000"/>
          <w:sz w:val="20"/>
          <w:u w:val="double"/>
        </w:rPr>
      </w:pPr>
      <w:r w:rsidRPr="00D21E25">
        <w:rPr>
          <w:rFonts w:ascii="Arial" w:eastAsia="Arial" w:hAnsi="Arial" w:cs="Arial"/>
          <w:b/>
          <w:color w:val="000000"/>
          <w:sz w:val="20"/>
          <w:u w:val="double"/>
        </w:rPr>
        <w:t xml:space="preserve">Assist in the Evaluation of the Tender </w:t>
      </w:r>
    </w:p>
    <w:p w:rsidR="00F615F0" w:rsidRDefault="00C323D1">
      <w:pPr>
        <w:spacing w:after="1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F615F0" w:rsidRDefault="00C323D1">
      <w:pPr>
        <w:spacing w:after="14" w:line="240" w:lineRule="auto"/>
        <w:ind w:right="9"/>
        <w:jc w:val="both"/>
        <w:rPr>
          <w:rFonts w:ascii="Arial" w:eastAsia="Arial" w:hAnsi="Arial" w:cs="Arial"/>
          <w:color w:val="000000"/>
          <w:sz w:val="20"/>
        </w:rPr>
      </w:pPr>
      <w:r>
        <w:rPr>
          <w:rFonts w:ascii="Arial" w:eastAsia="Arial" w:hAnsi="Arial" w:cs="Arial"/>
          <w:color w:val="000000"/>
          <w:sz w:val="20"/>
        </w:rPr>
        <w:t xml:space="preserve">The Consultant will assist with the evaluation of the offers/proposals in response to the tender; </w:t>
      </w:r>
    </w:p>
    <w:p w:rsidR="00F615F0" w:rsidRDefault="00C323D1">
      <w:pPr>
        <w:rPr>
          <w:rFonts w:ascii="Arial" w:eastAsia="Arial" w:hAnsi="Arial" w:cs="Arial"/>
          <w:color w:val="000000"/>
          <w:sz w:val="20"/>
        </w:rPr>
      </w:pPr>
      <w:r>
        <w:rPr>
          <w:rFonts w:ascii="Arial" w:eastAsia="Arial" w:hAnsi="Arial" w:cs="Arial"/>
          <w:color w:val="000000"/>
          <w:sz w:val="20"/>
        </w:rPr>
        <w:t>The Consultant will assist with Clarification from potential suppliers/bidders of the tender to be launched, as and when requested by ABUAD</w:t>
      </w:r>
    </w:p>
    <w:p w:rsidR="00F615F0" w:rsidRDefault="00F615F0">
      <w:pPr>
        <w:spacing w:after="0" w:line="240" w:lineRule="auto"/>
        <w:ind w:right="-15"/>
        <w:rPr>
          <w:rFonts w:ascii="Arial" w:eastAsia="Arial" w:hAnsi="Arial" w:cs="Arial"/>
          <w:color w:val="000000"/>
          <w:sz w:val="20"/>
        </w:rPr>
      </w:pP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Reconstruction Works </w:t>
      </w:r>
    </w:p>
    <w:p w:rsidR="00F615F0" w:rsidRDefault="00F615F0">
      <w:pPr>
        <w:spacing w:after="0" w:line="240" w:lineRule="auto"/>
        <w:ind w:right="-15"/>
        <w:rPr>
          <w:rFonts w:ascii="Arial" w:eastAsia="Arial" w:hAnsi="Arial" w:cs="Arial"/>
          <w:color w:val="000000"/>
          <w:sz w:val="20"/>
        </w:rPr>
      </w:pPr>
    </w:p>
    <w:p w:rsidR="00F615F0" w:rsidRDefault="00C323D1">
      <w:pPr>
        <w:spacing w:after="0" w:line="240" w:lineRule="auto"/>
        <w:ind w:right="-15"/>
        <w:rPr>
          <w:rFonts w:ascii="Arial" w:eastAsia="Arial" w:hAnsi="Arial" w:cs="Arial"/>
          <w:color w:val="000000"/>
          <w:sz w:val="20"/>
        </w:rPr>
      </w:pPr>
      <w:r>
        <w:rPr>
          <w:rFonts w:ascii="Arial" w:eastAsia="Arial" w:hAnsi="Arial" w:cs="Arial"/>
          <w:color w:val="000000"/>
          <w:sz w:val="20"/>
        </w:rPr>
        <w:lastRenderedPageBreak/>
        <w:t xml:space="preserve">The reconstruction works shall be carried out in such a way to protect existing building/infrastructures external to the zone e.g. lighting, storm drainage, road structure and pavement, etc. </w:t>
      </w:r>
    </w:p>
    <w:p w:rsidR="00F615F0" w:rsidRDefault="00C323D1">
      <w:pPr>
        <w:spacing w:after="237" w:line="240" w:lineRule="auto"/>
        <w:ind w:right="132"/>
        <w:jc w:val="both"/>
        <w:rPr>
          <w:rFonts w:ascii="Arial" w:eastAsia="Arial" w:hAnsi="Arial" w:cs="Arial"/>
          <w:color w:val="000000"/>
          <w:sz w:val="20"/>
        </w:rPr>
      </w:pPr>
      <w:r>
        <w:rPr>
          <w:rFonts w:ascii="Arial" w:eastAsia="Arial" w:hAnsi="Arial" w:cs="Arial"/>
          <w:color w:val="000000"/>
          <w:sz w:val="20"/>
        </w:rPr>
        <w:t xml:space="preserve">The reconstruction work will also include provision for utilities reconnection. The method shall not cause prejudice to the other buildings and related services. </w:t>
      </w:r>
    </w:p>
    <w:p w:rsidR="00F615F0" w:rsidRDefault="00C323D1">
      <w:pPr>
        <w:spacing w:after="236" w:line="240" w:lineRule="auto"/>
        <w:ind w:right="9"/>
        <w:jc w:val="both"/>
        <w:rPr>
          <w:rFonts w:ascii="Arial" w:eastAsia="Arial" w:hAnsi="Arial" w:cs="Arial"/>
          <w:color w:val="000000"/>
          <w:sz w:val="20"/>
        </w:rPr>
      </w:pPr>
      <w:r>
        <w:rPr>
          <w:rFonts w:ascii="Arial" w:eastAsia="Arial" w:hAnsi="Arial" w:cs="Arial"/>
          <w:color w:val="000000"/>
          <w:sz w:val="20"/>
        </w:rPr>
        <w:t xml:space="preserve">The following item have been identified as to be carried out within the area identified above: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Reconfiguration of the main gate (Sliding vs. Swinging)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Replacement of concrete slab (main entrance and maneuvering area)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Pavement repair (service road)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Sewage holding tanks (Security building and Gate security buildings)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Lighting High Mast and associated conduit/wiring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Street light removal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container Yard)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Construction of the access road (to the APN Administrative area)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Underground wiring (various) </w:t>
      </w:r>
    </w:p>
    <w:p w:rsidR="00F615F0" w:rsidRDefault="00C323D1">
      <w:pPr>
        <w:numPr>
          <w:ilvl w:val="4"/>
          <w:numId w:val="4"/>
        </w:numPr>
        <w:spacing w:after="14"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Storm drainage improvement and repair/cleanup of existing </w:t>
      </w:r>
    </w:p>
    <w:p w:rsidR="00F615F0" w:rsidRDefault="00C323D1">
      <w:pPr>
        <w:numPr>
          <w:ilvl w:val="4"/>
          <w:numId w:val="4"/>
        </w:numPr>
        <w:spacing w:after="97" w:line="240" w:lineRule="auto"/>
        <w:ind w:right="9" w:hanging="360"/>
        <w:jc w:val="both"/>
        <w:rPr>
          <w:rFonts w:ascii="Arial" w:eastAsia="Arial" w:hAnsi="Arial" w:cs="Arial"/>
          <w:color w:val="000000"/>
          <w:sz w:val="20"/>
        </w:rPr>
      </w:pPr>
      <w:r>
        <w:rPr>
          <w:rFonts w:ascii="Arial" w:eastAsia="Arial" w:hAnsi="Arial" w:cs="Arial"/>
          <w:color w:val="000000"/>
          <w:sz w:val="20"/>
        </w:rPr>
        <w:t xml:space="preserve">Small punctual demolition to accommodate construction works. </w:t>
      </w:r>
    </w:p>
    <w:p w:rsidR="00F615F0" w:rsidRDefault="00C323D1">
      <w:pPr>
        <w:spacing w:after="95" w:line="240" w:lineRule="auto"/>
        <w:ind w:left="720"/>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95" w:line="240" w:lineRule="auto"/>
        <w:ind w:left="720"/>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97" w:line="240" w:lineRule="auto"/>
        <w:rPr>
          <w:rFonts w:ascii="Arial" w:eastAsia="Arial" w:hAnsi="Arial" w:cs="Arial"/>
          <w:b/>
          <w:color w:val="000000"/>
          <w:sz w:val="20"/>
        </w:rPr>
      </w:pPr>
      <w:r>
        <w:rPr>
          <w:rFonts w:ascii="Arial" w:eastAsia="Arial" w:hAnsi="Arial" w:cs="Arial"/>
          <w:b/>
          <w:color w:val="000000"/>
          <w:sz w:val="20"/>
        </w:rPr>
        <w:t xml:space="preserve"> </w:t>
      </w:r>
    </w:p>
    <w:p w:rsidR="00F615F0" w:rsidRDefault="00F615F0">
      <w:pPr>
        <w:spacing w:after="97"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Pr="00D21E25" w:rsidRDefault="00C323D1">
      <w:pPr>
        <w:spacing w:after="97" w:line="240" w:lineRule="auto"/>
        <w:rPr>
          <w:rFonts w:ascii="Arial" w:eastAsia="Arial" w:hAnsi="Arial" w:cs="Arial"/>
          <w:color w:val="000000"/>
          <w:sz w:val="20"/>
          <w:u w:val="double"/>
        </w:rPr>
      </w:pPr>
      <w:r w:rsidRPr="00D21E25">
        <w:rPr>
          <w:rFonts w:ascii="Arial" w:eastAsia="Arial" w:hAnsi="Arial" w:cs="Arial"/>
          <w:b/>
          <w:color w:val="000000"/>
          <w:sz w:val="20"/>
          <w:u w:val="double"/>
        </w:rPr>
        <w:t xml:space="preserve">Special considerations: </w:t>
      </w:r>
    </w:p>
    <w:p w:rsidR="00F615F0" w:rsidRDefault="00C323D1">
      <w:pPr>
        <w:spacing w:after="14" w:line="240" w:lineRule="auto"/>
        <w:ind w:left="812"/>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A detailed topographical survey of the area and its surrounding areas in required prior to the design process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Three (3) permanent benchmarks shall be established. They will be established at location selected by ABUAD within the Hall property and will be installed in such a way to be usable throughout the overall Hall rehabilitation project. Localization of an exploitable existing benchmark in town is the Consultant’s responsibility.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Please consult the existing drawings to identify and avoid potential damages to the underground network. Include clauses for the identifications prior to work and repair/modifications as applicable.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fencing definition requirements are included and must be detailed according to the types available under a separate contract. ABUAD has contracted a separate fencing contract where the contractor is required to execute on an “as requested basis.  The fence work will be carried out under that contract but must be defined within this detailed design.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Signage shall be using composite materials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existing grated open channels shall be used to establish the reference level to adjust to.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While the gate is being modified from swinging to sliding, 24/7 armed security is to be provided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Throughout the reconstruction phase, two (2) diesel light towers shall be operating from 1900 hrs to 0600 hrs. (10 meters tower, 4 x 1000w flood lights minimum). Rental, labor and consumables shall be at the contractor’s cost.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main gate shall remain operational during the execution of the reconstruction. Proper phasing is to be proposed.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lastRenderedPageBreak/>
        <w:t xml:space="preserve">Sewage holding tanks shall be fitted with covers designed to safely withstand anticipated vehicle loads, including impact.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removal of the street light posts shall be done in such way not to disrupt the electrical feed to the remaining poles (eastward)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Lighting High Masts are to be base hinged in order to be capable to lower them for maintenance and in case of unfavorable wind conditions (hurricane) Mast manufacturer is to be responsible to design the bases, erect the mast and lighting equipment, supply the appropriate independent hydraulic cylinder counterbalance unit.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Two options are to be provided for the Lighting High Mast (Rhea floodlights 8 x AL5216 / 1000W SON-PT High Pressure Sodium) or (AAA-Lux LED floodlights 7 x AL60 / 1375 W).The construction tender document shall require a cost for both options.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Contractor may suggest other High Masts/Lighting fixtures however it must be supported by an appropriate photometry study respecting the minimum lighting and average lighting level levels. Folding High Mast are mandatory.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Direction of the folding mast once lowered must be proposed before actual construction works.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Electrical feeds to the buildings are shallow and in the axis of the street light pole. Care shall be taken not to damage. In case of damages, the Contractor is to repair to resume services.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Electrical pull boxes shall be set flush to the finished level and compliant to </w:t>
      </w:r>
      <w:r>
        <w:rPr>
          <w:rFonts w:ascii="Arial" w:eastAsia="Arial" w:hAnsi="Arial" w:cs="Arial"/>
          <w:color w:val="333333"/>
          <w:sz w:val="20"/>
        </w:rPr>
        <w:t>AASHTO M306 (H20 loading) and sized according to Code.</w:t>
      </w:r>
      <w:r>
        <w:rPr>
          <w:rFonts w:ascii="Arial" w:eastAsia="Arial" w:hAnsi="Arial" w:cs="Arial"/>
          <w:color w:val="000000"/>
          <w:sz w:val="20"/>
        </w:rPr>
        <w:t xml:space="preserve">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firefighting sea water loop will be pressure tested to 150 psig. Leak testing shall be in accordance with DINEPA’s Technical Referential.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Hydrants outlets shall be compatible with the Fire Department equipment.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Minimal size or the firefighting sea water loop is 150mm (PVC DR 18).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The fencing and gates construction will be carried out under a separate contract, however must be specified using the existing Fencing &amp; Security Drawings &amp; Specifications documents. </w:t>
      </w:r>
    </w:p>
    <w:p w:rsidR="00F615F0" w:rsidRDefault="00C323D1">
      <w:pPr>
        <w:numPr>
          <w:ilvl w:val="3"/>
          <w:numId w:val="5"/>
        </w:numPr>
        <w:spacing w:after="14" w:line="240" w:lineRule="auto"/>
        <w:ind w:right="232" w:hanging="360"/>
        <w:jc w:val="both"/>
        <w:rPr>
          <w:rFonts w:ascii="Arial" w:eastAsia="Arial" w:hAnsi="Arial" w:cs="Arial"/>
          <w:color w:val="000000"/>
          <w:sz w:val="20"/>
        </w:rPr>
      </w:pPr>
      <w:r>
        <w:rPr>
          <w:rFonts w:ascii="Arial" w:eastAsia="Arial" w:hAnsi="Arial" w:cs="Arial"/>
          <w:color w:val="000000"/>
          <w:sz w:val="20"/>
        </w:rPr>
        <w:t xml:space="preserve">Care must be exercised to direct storm runoff away from the existing administrative building. Pavement correction overlay is permitted. </w:t>
      </w:r>
    </w:p>
    <w:p w:rsidR="00F615F0" w:rsidRDefault="00C323D1">
      <w:pPr>
        <w:spacing w:after="234" w:line="240" w:lineRule="auto"/>
        <w:ind w:left="1080"/>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15"/>
        <w:jc w:val="both"/>
        <w:rPr>
          <w:rFonts w:ascii="Arial" w:eastAsia="Arial" w:hAnsi="Arial" w:cs="Arial"/>
          <w:color w:val="000000"/>
          <w:sz w:val="20"/>
          <w:u w:val="double"/>
        </w:rPr>
      </w:pPr>
      <w:r w:rsidRPr="00D21E25">
        <w:rPr>
          <w:rFonts w:ascii="Arial" w:eastAsia="Arial" w:hAnsi="Arial" w:cs="Arial"/>
          <w:b/>
          <w:color w:val="000000"/>
          <w:sz w:val="20"/>
          <w:u w:val="double"/>
        </w:rPr>
        <w:t xml:space="preserve">Benchmarks establishment </w:t>
      </w:r>
    </w:p>
    <w:p w:rsidR="00F615F0" w:rsidRDefault="00F615F0">
      <w:pPr>
        <w:spacing w:after="95" w:line="240" w:lineRule="auto"/>
        <w:ind w:right="671"/>
        <w:jc w:val="both"/>
        <w:rPr>
          <w:rFonts w:ascii="Arial" w:eastAsia="Arial" w:hAnsi="Arial" w:cs="Arial"/>
          <w:color w:val="000000"/>
          <w:sz w:val="20"/>
        </w:rPr>
      </w:pPr>
    </w:p>
    <w:p w:rsidR="00F615F0" w:rsidRDefault="00C323D1">
      <w:pPr>
        <w:spacing w:after="95" w:line="240" w:lineRule="auto"/>
        <w:ind w:right="671"/>
        <w:jc w:val="both"/>
        <w:rPr>
          <w:rFonts w:ascii="Arial" w:eastAsia="Arial" w:hAnsi="Arial" w:cs="Arial"/>
          <w:color w:val="000000"/>
          <w:sz w:val="20"/>
        </w:rPr>
      </w:pPr>
      <w:r>
        <w:rPr>
          <w:rFonts w:ascii="Arial" w:eastAsia="Arial" w:hAnsi="Arial" w:cs="Arial"/>
          <w:color w:val="000000"/>
          <w:sz w:val="20"/>
        </w:rPr>
        <w:t xml:space="preserve">Three (3) permanent benchmarks will be established within the Hall’s property limits. The location will be selected by ABUAD so that they be reliable (undisturbed) during the Hall rehabilitation project. They will be referenced to a known benchmark. Offsets measurements to WSP’s benchmarks are to be established in order to unify previous survey and provide a sound database for future work phases. </w:t>
      </w:r>
    </w:p>
    <w:p w:rsidR="00F615F0" w:rsidRPr="00D21E25" w:rsidRDefault="00C323D1">
      <w:pPr>
        <w:spacing w:after="97" w:line="240" w:lineRule="auto"/>
        <w:ind w:left="1172"/>
        <w:rPr>
          <w:rFonts w:ascii="Arial" w:eastAsia="Arial" w:hAnsi="Arial" w:cs="Arial"/>
          <w:color w:val="000000"/>
          <w:sz w:val="20"/>
          <w:u w:val="double"/>
        </w:rPr>
      </w:pPr>
      <w:r w:rsidRPr="00D21E25">
        <w:rPr>
          <w:rFonts w:ascii="Arial" w:eastAsia="Arial" w:hAnsi="Arial" w:cs="Arial"/>
          <w:color w:val="000000"/>
          <w:sz w:val="20"/>
          <w:u w:val="double"/>
        </w:rPr>
        <w:t xml:space="preserve"> </w:t>
      </w:r>
    </w:p>
    <w:p w:rsidR="00F615F0" w:rsidRPr="00D21E25" w:rsidRDefault="00C323D1">
      <w:pPr>
        <w:spacing w:after="0" w:line="240" w:lineRule="auto"/>
        <w:ind w:right="-15"/>
        <w:jc w:val="both"/>
        <w:rPr>
          <w:rFonts w:ascii="Arial" w:eastAsia="Arial" w:hAnsi="Arial" w:cs="Arial"/>
          <w:color w:val="000000"/>
          <w:sz w:val="20"/>
          <w:u w:val="double"/>
        </w:rPr>
      </w:pPr>
      <w:r w:rsidRPr="00D21E25">
        <w:rPr>
          <w:rFonts w:ascii="Arial" w:eastAsia="Arial" w:hAnsi="Arial" w:cs="Arial"/>
          <w:b/>
          <w:color w:val="000000"/>
          <w:sz w:val="20"/>
          <w:u w:val="double"/>
        </w:rPr>
        <w:t xml:space="preserve">Vehicle Storage yard </w:t>
      </w:r>
    </w:p>
    <w:p w:rsidR="00F615F0" w:rsidRDefault="00C323D1">
      <w:pPr>
        <w:spacing w:after="13"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Sea water firefighting underground piping and hydrants (2).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Lighting High Mast and associated conduits and cabling.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Underground electrical distribution to feed the two existing Hall Administration Building.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Perimeter drain connected to existing surface channels.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Parking surface structure with granular top surface.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Cast in place perimeter curbs as required. (regular and vehicular passage) </w:t>
      </w:r>
    </w:p>
    <w:p w:rsidR="00F615F0" w:rsidRDefault="00C323D1">
      <w:pPr>
        <w:numPr>
          <w:ilvl w:val="3"/>
          <w:numId w:val="7"/>
        </w:numPr>
        <w:spacing w:after="14" w:line="240" w:lineRule="auto"/>
        <w:ind w:left="1156" w:right="9" w:hanging="271"/>
        <w:jc w:val="both"/>
        <w:rPr>
          <w:rFonts w:ascii="Arial" w:eastAsia="Arial" w:hAnsi="Arial" w:cs="Arial"/>
          <w:color w:val="000000"/>
          <w:sz w:val="20"/>
        </w:rPr>
      </w:pPr>
      <w:r>
        <w:rPr>
          <w:rFonts w:ascii="Arial" w:eastAsia="Arial" w:hAnsi="Arial" w:cs="Arial"/>
          <w:color w:val="000000"/>
          <w:sz w:val="20"/>
        </w:rPr>
        <w:t xml:space="preserve">Fencing and gates. </w:t>
      </w:r>
    </w:p>
    <w:p w:rsidR="00F615F0" w:rsidRDefault="00C323D1">
      <w:pPr>
        <w:spacing w:after="236" w:line="240" w:lineRule="auto"/>
        <w:ind w:left="1080"/>
        <w:rPr>
          <w:rFonts w:ascii="Arial" w:eastAsia="Arial" w:hAnsi="Arial" w:cs="Arial"/>
          <w:color w:val="000000"/>
          <w:sz w:val="20"/>
        </w:rPr>
      </w:pPr>
      <w:r>
        <w:rPr>
          <w:rFonts w:ascii="Arial" w:eastAsia="Arial" w:hAnsi="Arial" w:cs="Arial"/>
          <w:color w:val="000000"/>
          <w:sz w:val="20"/>
        </w:rPr>
        <w:lastRenderedPageBreak/>
        <w:t xml:space="preserve"> </w:t>
      </w: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Main Gate  </w:t>
      </w:r>
    </w:p>
    <w:p w:rsidR="00F615F0" w:rsidRDefault="00C323D1">
      <w:pPr>
        <w:spacing w:after="13"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3"/>
          <w:numId w:val="8"/>
        </w:numPr>
        <w:spacing w:after="0" w:line="232"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Modification works to the northern half of the gate to change it from swinging to sliding via a properly sized operator. Gate operation shall be via remote control and hard wired control. </w:t>
      </w:r>
    </w:p>
    <w:p w:rsidR="00F615F0" w:rsidRDefault="00C323D1">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Demolition and reconstruction of the circulation area from the boulevard to the Gate house area. </w:t>
      </w:r>
    </w:p>
    <w:p w:rsidR="00F615F0" w:rsidRDefault="00C323D1">
      <w:pPr>
        <w:numPr>
          <w:ilvl w:val="3"/>
          <w:numId w:val="8"/>
        </w:numPr>
        <w:spacing w:after="14" w:line="240" w:lineRule="auto"/>
        <w:ind w:left="1156" w:right="209" w:hanging="271"/>
        <w:jc w:val="both"/>
        <w:rPr>
          <w:rFonts w:ascii="Arial" w:eastAsia="Arial" w:hAnsi="Arial" w:cs="Arial"/>
          <w:color w:val="000000"/>
          <w:sz w:val="20"/>
        </w:rPr>
      </w:pPr>
      <w:r>
        <w:rPr>
          <w:rFonts w:ascii="Arial" w:eastAsia="Arial" w:hAnsi="Arial" w:cs="Arial"/>
          <w:color w:val="000000"/>
          <w:sz w:val="20"/>
        </w:rPr>
        <w:t xml:space="preserve">Installation of underground electrical conduit network to allow future feed of the existing building. </w:t>
      </w:r>
    </w:p>
    <w:p w:rsidR="00F615F0" w:rsidRDefault="00C323D1">
      <w:pPr>
        <w:spacing w:after="236" w:line="240" w:lineRule="auto"/>
        <w:ind w:left="1080"/>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Storm drainage improvement and repair/clean-up of existing </w:t>
      </w:r>
    </w:p>
    <w:p w:rsidR="00F615F0" w:rsidRDefault="00C323D1">
      <w:pPr>
        <w:spacing w:after="15" w:line="240" w:lineRule="auto"/>
        <w:ind w:left="1224"/>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 xml:space="preserve">There are three (3) storm channel within the work area. Channel #1, #2, and #3 as illustrated on WSP’s drawing SK003 (WSP’s Report April 2020). The channels are at places covered with either prefabricated concrete or cast iron grates. These channels are also obstructed with debris and sediments.  </w:t>
      </w:r>
    </w:p>
    <w:p w:rsidR="00F615F0" w:rsidRDefault="00C323D1">
      <w:pPr>
        <w:numPr>
          <w:ilvl w:val="0"/>
          <w:numId w:val="9"/>
        </w:numPr>
        <w:spacing w:after="14" w:line="240" w:lineRule="auto"/>
        <w:ind w:left="1156" w:right="670" w:hanging="271"/>
        <w:jc w:val="both"/>
        <w:rPr>
          <w:rFonts w:ascii="Arial" w:eastAsia="Arial" w:hAnsi="Arial" w:cs="Arial"/>
          <w:color w:val="000000"/>
          <w:sz w:val="20"/>
        </w:rPr>
      </w:pPr>
      <w:r>
        <w:rPr>
          <w:rFonts w:ascii="Arial" w:eastAsia="Arial" w:hAnsi="Arial" w:cs="Arial"/>
          <w:color w:val="000000"/>
          <w:sz w:val="20"/>
        </w:rPr>
        <w:t xml:space="preserve">The scope of work is to clean the channels (within the work zone), repair as necessary and replace damaged or missing grates.  </w:t>
      </w:r>
    </w:p>
    <w:p w:rsidR="00F615F0" w:rsidRDefault="00C323D1">
      <w:pPr>
        <w:spacing w:after="15" w:line="240" w:lineRule="auto"/>
        <w:ind w:left="1172"/>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233" w:line="240" w:lineRule="auto"/>
        <w:jc w:val="center"/>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188" w:line="240" w:lineRule="auto"/>
        <w:ind w:right="663"/>
        <w:jc w:val="right"/>
        <w:rPr>
          <w:rFonts w:ascii="Arial" w:eastAsia="Arial" w:hAnsi="Arial" w:cs="Arial"/>
          <w:color w:val="000000"/>
          <w:sz w:val="20"/>
        </w:rPr>
      </w:pPr>
      <w:r>
        <w:rPr>
          <w:rFonts w:ascii="Arial" w:eastAsia="Arial" w:hAnsi="Arial" w:cs="Arial"/>
          <w:color w:val="000000"/>
          <w:sz w:val="20"/>
        </w:rPr>
        <w:t xml:space="preserve"> </w:t>
      </w: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Street Lighting </w:t>
      </w:r>
    </w:p>
    <w:p w:rsidR="00F615F0" w:rsidRDefault="00F615F0">
      <w:pPr>
        <w:spacing w:after="0" w:line="240" w:lineRule="auto"/>
        <w:ind w:right="-15"/>
        <w:rPr>
          <w:rFonts w:ascii="Arial" w:eastAsia="Arial" w:hAnsi="Arial" w:cs="Arial"/>
          <w:color w:val="000000"/>
          <w:sz w:val="20"/>
        </w:rPr>
      </w:pPr>
    </w:p>
    <w:p w:rsidR="00F615F0" w:rsidRDefault="00C323D1">
      <w:pPr>
        <w:spacing w:after="0" w:line="240" w:lineRule="auto"/>
        <w:ind w:right="-15"/>
        <w:rPr>
          <w:rFonts w:ascii="Arial" w:eastAsia="Arial" w:hAnsi="Arial" w:cs="Arial"/>
          <w:color w:val="000000"/>
          <w:sz w:val="20"/>
        </w:rPr>
      </w:pPr>
      <w:r>
        <w:rPr>
          <w:rFonts w:ascii="Arial" w:eastAsia="Arial" w:hAnsi="Arial" w:cs="Arial"/>
          <w:color w:val="000000"/>
          <w:sz w:val="20"/>
        </w:rPr>
        <w:t xml:space="preserve">Removal of the street light post from the main gate to beyond the intersection of the Container yard road.  </w:t>
      </w:r>
    </w:p>
    <w:p w:rsidR="00F615F0" w:rsidRDefault="00F615F0">
      <w:pPr>
        <w:spacing w:after="0" w:line="240" w:lineRule="auto"/>
        <w:ind w:right="-15"/>
        <w:rPr>
          <w:rFonts w:ascii="Arial" w:eastAsia="Arial" w:hAnsi="Arial" w:cs="Arial"/>
          <w:b/>
          <w:color w:val="000000"/>
          <w:sz w:val="20"/>
        </w:rPr>
      </w:pPr>
    </w:p>
    <w:p w:rsidR="00F615F0" w:rsidRDefault="00F615F0">
      <w:pPr>
        <w:spacing w:after="0" w:line="240" w:lineRule="auto"/>
        <w:ind w:right="-15"/>
        <w:rPr>
          <w:rFonts w:ascii="Arial" w:eastAsia="Arial" w:hAnsi="Arial" w:cs="Arial"/>
          <w:b/>
          <w:color w:val="000000"/>
          <w:sz w:val="20"/>
        </w:rPr>
      </w:pPr>
    </w:p>
    <w:p w:rsidR="00F615F0" w:rsidRPr="00D21E25" w:rsidRDefault="00C323D1">
      <w:pPr>
        <w:spacing w:after="0" w:line="240" w:lineRule="auto"/>
        <w:ind w:right="-15"/>
        <w:rPr>
          <w:rFonts w:ascii="Arial" w:eastAsia="Arial" w:hAnsi="Arial" w:cs="Arial"/>
          <w:color w:val="000000"/>
          <w:sz w:val="20"/>
          <w:u w:val="double"/>
        </w:rPr>
      </w:pPr>
      <w:r w:rsidRPr="00D21E25">
        <w:rPr>
          <w:rFonts w:ascii="Arial" w:eastAsia="Arial" w:hAnsi="Arial" w:cs="Arial"/>
          <w:b/>
          <w:color w:val="000000"/>
          <w:sz w:val="20"/>
          <w:u w:val="double"/>
        </w:rPr>
        <w:t xml:space="preserve">High Mast and Street lights poles </w:t>
      </w:r>
    </w:p>
    <w:p w:rsidR="00F615F0" w:rsidRDefault="00F615F0">
      <w:pPr>
        <w:spacing w:after="0" w:line="240" w:lineRule="auto"/>
        <w:ind w:right="-15"/>
        <w:rPr>
          <w:rFonts w:ascii="Arial" w:eastAsia="Arial" w:hAnsi="Arial" w:cs="Arial"/>
          <w:color w:val="000000"/>
          <w:sz w:val="20"/>
        </w:rPr>
      </w:pPr>
    </w:p>
    <w:p w:rsidR="00F615F0" w:rsidRDefault="00C323D1">
      <w:pPr>
        <w:spacing w:after="0" w:line="240" w:lineRule="auto"/>
        <w:ind w:right="-15"/>
        <w:rPr>
          <w:rFonts w:ascii="Arial" w:eastAsia="Arial" w:hAnsi="Arial" w:cs="Arial"/>
          <w:color w:val="000000"/>
          <w:sz w:val="20"/>
        </w:rPr>
      </w:pPr>
      <w:r>
        <w:rPr>
          <w:rFonts w:ascii="Arial" w:eastAsia="Arial" w:hAnsi="Arial" w:cs="Arial"/>
          <w:color w:val="000000"/>
          <w:sz w:val="20"/>
        </w:rPr>
        <w:t xml:space="preserve">This Work Program calls for one (1) High Mast. The overall project however calls for three (3) High Masts. Since the shipping cost is likely to be significant for only one, we may elect to acquire all three and store the remaining two on site. Therefore a separate price will be required for one (1) or three (3) complete with all accessories including lighting fixtures. </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Deliverables </w:t>
      </w:r>
    </w:p>
    <w:p w:rsidR="00F615F0" w:rsidRDefault="00C323D1">
      <w:pPr>
        <w:spacing w:after="15" w:line="240" w:lineRule="auto"/>
        <w:ind w:left="360"/>
        <w:rPr>
          <w:rFonts w:ascii="Arial" w:eastAsia="Arial" w:hAnsi="Arial" w:cs="Arial"/>
          <w:color w:val="000000"/>
          <w:sz w:val="20"/>
        </w:rPr>
      </w:pPr>
      <w:r>
        <w:rPr>
          <w:rFonts w:ascii="Arial" w:eastAsia="Arial" w:hAnsi="Arial" w:cs="Arial"/>
          <w:b/>
          <w:color w:val="000000"/>
          <w:sz w:val="20"/>
        </w:rPr>
        <w:t xml:space="preserve"> </w:t>
      </w:r>
    </w:p>
    <w:p w:rsidR="00F615F0" w:rsidRPr="00D21E25" w:rsidRDefault="00C323D1">
      <w:pPr>
        <w:spacing w:after="0" w:line="240" w:lineRule="auto"/>
        <w:ind w:right="-15"/>
        <w:jc w:val="both"/>
        <w:rPr>
          <w:rFonts w:ascii="Arial" w:eastAsia="Arial" w:hAnsi="Arial" w:cs="Arial"/>
          <w:color w:val="000000"/>
          <w:sz w:val="20"/>
          <w:u w:val="double"/>
        </w:rPr>
      </w:pPr>
      <w:r w:rsidRPr="00D21E25">
        <w:rPr>
          <w:rFonts w:ascii="Arial" w:eastAsia="Arial" w:hAnsi="Arial" w:cs="Arial"/>
          <w:b/>
          <w:color w:val="000000"/>
          <w:sz w:val="20"/>
          <w:u w:val="double"/>
        </w:rPr>
        <w:t xml:space="preserve">Reports and Communications </w:t>
      </w:r>
    </w:p>
    <w:p w:rsidR="00F615F0" w:rsidRDefault="00C323D1">
      <w:pPr>
        <w:spacing w:after="3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When the Consultant’s work is 50% complete, a draft D&amp;S will be submitted complete with supporting documentation (concept drawings, assessment report that identifies installation, etc.) to ABUAD for preliminary review. A teleconference discussion will take place between the Consultant and ABUAD that provides an overview of the documentation. Minutes of the meeting shall be published by the Consultant. Revision comments from ABUAD will be provided to the Consultant one week after receiving the 50% D&amp;S document.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When the Consultant’s work is 90% complete, a draft SOW will be submitted complete with supporting documentation to ABUAD for final review. A teleconference discussion will take place between the Consultant and ABUAD that provides details of the content contained within the 90% SOW. Minutes of the meeting shall be published by the Consultant Revision comments from ABUAD will be provided to the Consultant one week after receiving the 90% D&amp;S document.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lastRenderedPageBreak/>
        <w:t xml:space="preserve">The Consultant shall include provisions for bi-weekly teleconference project meetings with ABUAD project management throughout the project duration and generate the corresponding meeting minutes.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The Consultant shall provide the Final D&amp;S to ABUAD in a PDF, DWG and DOCX formats.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The documents (Specification, drawings, Bill of material, survey results, calculations, notes, etc.) are to be sealed by U.S. licensed professionals or equivalent to be approved by the client. (Accreditation to be submitted with your offer). </w:t>
      </w:r>
    </w:p>
    <w:p w:rsidR="00F615F0" w:rsidRDefault="00C323D1">
      <w:pPr>
        <w:spacing w:after="0" w:line="240" w:lineRule="auto"/>
        <w:ind w:left="812"/>
        <w:rPr>
          <w:rFonts w:ascii="Arial" w:eastAsia="Arial" w:hAnsi="Arial" w:cs="Arial"/>
          <w:color w:val="000000"/>
          <w:sz w:val="20"/>
        </w:rPr>
      </w:pPr>
      <w:r>
        <w:rPr>
          <w:rFonts w:ascii="Arial" w:eastAsia="Arial" w:hAnsi="Arial" w:cs="Arial"/>
          <w:color w:val="000000"/>
          <w:sz w:val="20"/>
        </w:rPr>
        <w:t xml:space="preserve"> </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b/>
          <w:color w:val="000000"/>
          <w:sz w:val="20"/>
        </w:rPr>
        <w:t xml:space="preserve">Others </w:t>
      </w:r>
    </w:p>
    <w:p w:rsidR="00F615F0" w:rsidRDefault="00C323D1">
      <w:pPr>
        <w:spacing w:after="13" w:line="240" w:lineRule="auto"/>
        <w:ind w:left="792"/>
        <w:rPr>
          <w:rFonts w:ascii="Arial" w:eastAsia="Arial" w:hAnsi="Arial" w:cs="Arial"/>
          <w:color w:val="000000"/>
          <w:sz w:val="20"/>
        </w:rPr>
      </w:pPr>
      <w:r>
        <w:rPr>
          <w:rFonts w:ascii="Arial" w:eastAsia="Arial" w:hAnsi="Arial" w:cs="Arial"/>
          <w:b/>
          <w:color w:val="000000"/>
          <w:sz w:val="20"/>
        </w:rPr>
        <w:t xml:space="preserve">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All work done onsite will be subject to ABUAD safety rules and protocols, including training. The Consultant is to factor in these costs within their offer/proposal. ABUAD Safety Rules are available and will be provided to the Consultant. </w:t>
      </w:r>
    </w:p>
    <w:p w:rsidR="00F615F0" w:rsidRDefault="00C323D1">
      <w:pPr>
        <w:numPr>
          <w:ilvl w:val="2"/>
          <w:numId w:val="10"/>
        </w:numPr>
        <w:spacing w:after="14" w:line="240" w:lineRule="auto"/>
        <w:ind w:left="901" w:right="666" w:hanging="449"/>
        <w:jc w:val="both"/>
        <w:rPr>
          <w:rFonts w:ascii="Arial" w:eastAsia="Arial" w:hAnsi="Arial" w:cs="Arial"/>
          <w:color w:val="000000"/>
          <w:sz w:val="20"/>
        </w:rPr>
      </w:pPr>
      <w:r>
        <w:rPr>
          <w:rFonts w:ascii="Arial" w:eastAsia="Arial" w:hAnsi="Arial" w:cs="Arial"/>
          <w:color w:val="000000"/>
          <w:sz w:val="20"/>
        </w:rPr>
        <w:t xml:space="preserve">ABUAD may ask the Consultant to provide services on an as-needed basis, during the execution phase... Consultant must also supply a schedules of hourly rates for its consultancy. </w:t>
      </w:r>
    </w:p>
    <w:p w:rsidR="00F615F0" w:rsidRDefault="00F615F0">
      <w:pPr>
        <w:spacing w:after="236" w:line="240" w:lineRule="auto"/>
        <w:ind w:left="901"/>
        <w:rPr>
          <w:rFonts w:ascii="Arial" w:eastAsia="Arial" w:hAnsi="Arial" w:cs="Arial"/>
          <w:color w:val="000000"/>
          <w:sz w:val="20"/>
        </w:rPr>
      </w:pPr>
    </w:p>
    <w:p w:rsidR="00F615F0" w:rsidRDefault="00F615F0">
      <w:pPr>
        <w:spacing w:after="236" w:line="240" w:lineRule="auto"/>
        <w:ind w:left="720"/>
        <w:rPr>
          <w:rFonts w:ascii="Arial" w:eastAsia="Arial" w:hAnsi="Arial" w:cs="Arial"/>
          <w:color w:val="000000"/>
          <w:sz w:val="20"/>
        </w:rPr>
      </w:pPr>
    </w:p>
    <w:p w:rsidR="00F615F0" w:rsidRPr="00D21E25" w:rsidRDefault="00C323D1">
      <w:pPr>
        <w:spacing w:after="236" w:line="240" w:lineRule="auto"/>
        <w:rPr>
          <w:rFonts w:ascii="Arial" w:eastAsia="Arial" w:hAnsi="Arial" w:cs="Arial"/>
          <w:b/>
          <w:color w:val="000000"/>
          <w:sz w:val="20"/>
          <w:u w:val="double"/>
        </w:rPr>
      </w:pPr>
      <w:r w:rsidRPr="00D21E25">
        <w:rPr>
          <w:rFonts w:ascii="Arial" w:eastAsia="Arial" w:hAnsi="Arial" w:cs="Arial"/>
          <w:b/>
          <w:color w:val="000000"/>
          <w:sz w:val="20"/>
          <w:u w:val="double"/>
        </w:rPr>
        <w:t>Reasons for Site Selection</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PURPOSE OF BUILDING</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This is the most important factor to consider before purchasing or selecting a site for residential purpose. The site was selected keeping in view the general scope or the purpose of building and on the basis of extent or privacy required.</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SHAPE &amp; SIZE</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Area of the plot of land should be such that when the hall is constructed, keeping in view the restrictions of the local authority, would meet the requirements of the owner, preferably with possibilities of future extensions.</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TERRAIN CONDITION</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site was situated on an elevated place and also leveled with uniform slopes from one end to the other so as to provide good and quick drainage of rain water.</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TYPE OF GROUND SOIL</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ground soil of the site was good enough to provide economical foundations for the intended building without causing and problems. Generally, for most satisfactory constructions, the site should have rock, sand or dense soil below 60 to 120 cm layer of light soil or even black cotton soil.</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NATURAL LIGHT &amp; AIR</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location of the site was selected so as to ensure unobstructed natural light and air.</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t>ENVIRONMENTAL CONDITION</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 xml:space="preserve">The site was available in an area where natural beauty and man-made environment create healthy living and working conditions. </w:t>
      </w:r>
    </w:p>
    <w:p w:rsidR="00F615F0" w:rsidRDefault="00C323D1">
      <w:pPr>
        <w:pStyle w:val="ListParagraph"/>
        <w:numPr>
          <w:ilvl w:val="0"/>
          <w:numId w:val="25"/>
        </w:numPr>
        <w:spacing w:after="236" w:line="240" w:lineRule="auto"/>
        <w:rPr>
          <w:rFonts w:ascii="Arial" w:eastAsia="Arial" w:hAnsi="Arial" w:cs="Arial"/>
          <w:color w:val="000000"/>
          <w:sz w:val="20"/>
        </w:rPr>
      </w:pPr>
      <w:r>
        <w:rPr>
          <w:rFonts w:ascii="Arial" w:eastAsia="Arial" w:hAnsi="Arial" w:cs="Arial"/>
          <w:color w:val="000000"/>
          <w:sz w:val="20"/>
        </w:rPr>
        <w:lastRenderedPageBreak/>
        <w:t>LEGAL &amp; FINANCIAL ASPECTS</w:t>
      </w:r>
    </w:p>
    <w:p w:rsidR="00F615F0" w:rsidRDefault="00C323D1">
      <w:pPr>
        <w:spacing w:after="236" w:line="240" w:lineRule="auto"/>
        <w:rPr>
          <w:rFonts w:ascii="Arial" w:eastAsia="Arial" w:hAnsi="Arial" w:cs="Arial"/>
          <w:color w:val="000000"/>
          <w:sz w:val="20"/>
        </w:rPr>
      </w:pPr>
      <w:r>
        <w:rPr>
          <w:rFonts w:ascii="Arial" w:eastAsia="Arial" w:hAnsi="Arial" w:cs="Arial"/>
          <w:color w:val="000000"/>
          <w:sz w:val="20"/>
        </w:rPr>
        <w:t>The legal and financial aspects, which dictate upon ownership rights and the costs was right consideration before the purchase of a plot.</w:t>
      </w:r>
    </w:p>
    <w:p w:rsidR="00F615F0" w:rsidRDefault="00F615F0">
      <w:pPr>
        <w:spacing w:after="236" w:line="240" w:lineRule="auto"/>
        <w:rPr>
          <w:rFonts w:ascii="Arial" w:eastAsia="Arial" w:hAnsi="Arial" w:cs="Arial"/>
          <w:color w:val="000000"/>
          <w:sz w:val="20"/>
        </w:rPr>
      </w:pPr>
    </w:p>
    <w:p w:rsidR="00F615F0" w:rsidRDefault="00F615F0">
      <w:pPr>
        <w:spacing w:after="236" w:line="240" w:lineRule="auto"/>
        <w:rPr>
          <w:rFonts w:ascii="Arial" w:eastAsia="Arial" w:hAnsi="Arial" w:cs="Arial"/>
          <w:color w:val="000000"/>
          <w:sz w:val="20"/>
        </w:rPr>
      </w:pPr>
    </w:p>
    <w:p w:rsidR="00F615F0" w:rsidRPr="00D21E25" w:rsidRDefault="00C323D1">
      <w:pPr>
        <w:spacing w:after="0" w:line="240" w:lineRule="auto"/>
        <w:ind w:right="-15"/>
        <w:jc w:val="both"/>
        <w:rPr>
          <w:rFonts w:ascii="Arial" w:eastAsia="Arial" w:hAnsi="Arial" w:cs="Arial"/>
          <w:b/>
          <w:color w:val="000000"/>
          <w:sz w:val="20"/>
          <w:u w:val="double"/>
        </w:rPr>
      </w:pPr>
      <w:r w:rsidRPr="00D21E25">
        <w:rPr>
          <w:rFonts w:ascii="Arial" w:eastAsia="Arial" w:hAnsi="Arial" w:cs="Arial"/>
          <w:b/>
          <w:color w:val="000000"/>
          <w:sz w:val="20"/>
          <w:u w:val="double"/>
        </w:rPr>
        <w:t>Construction Site Personnel Team</w:t>
      </w:r>
    </w:p>
    <w:p w:rsidR="00F615F0" w:rsidRDefault="00F615F0">
      <w:pPr>
        <w:spacing w:after="0" w:line="240" w:lineRule="auto"/>
        <w:ind w:right="-15"/>
        <w:jc w:val="both"/>
        <w:rPr>
          <w:rFonts w:ascii="Arial" w:eastAsia="Arial" w:hAnsi="Arial" w:cs="Arial"/>
          <w:b/>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Site manager</w:t>
      </w:r>
    </w:p>
    <w:p w:rsidR="00F615F0" w:rsidRDefault="00F615F0">
      <w:pPr>
        <w:spacing w:after="0" w:line="240" w:lineRule="auto"/>
        <w:ind w:right="-15"/>
        <w:jc w:val="both"/>
        <w:rPr>
          <w:rFonts w:ascii="Arial" w:eastAsia="Arial" w:hAnsi="Arial" w:cs="Arial"/>
          <w:color w:val="000000"/>
          <w:sz w:val="20"/>
        </w:rPr>
      </w:pP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The site manager is the senior construction company representative on site. The site manager will generally be responsible to an office-based ‘contracts manager’.</w:t>
      </w:r>
    </w:p>
    <w:p w:rsidR="00F615F0" w:rsidRDefault="00F615F0">
      <w:pPr>
        <w:spacing w:after="0" w:line="240" w:lineRule="auto"/>
        <w:ind w:right="-15"/>
        <w:jc w:val="both"/>
        <w:rPr>
          <w:rFonts w:ascii="Arial" w:eastAsia="Arial" w:hAnsi="Arial" w:cs="Arial"/>
          <w:color w:val="000000"/>
          <w:sz w:val="20"/>
        </w:rPr>
      </w:pP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The site manager’s role is the supervision and management of all site-based staff employed by the company to ensure that the project is delivered within their contractual obligations. The major responsibilities of the role are to:</w:t>
      </w:r>
    </w:p>
    <w:p w:rsidR="00F615F0" w:rsidRDefault="00F615F0">
      <w:pPr>
        <w:spacing w:after="0" w:line="240" w:lineRule="auto"/>
        <w:ind w:right="-15"/>
        <w:jc w:val="both"/>
        <w:rPr>
          <w:rFonts w:ascii="Arial" w:eastAsia="Arial" w:hAnsi="Arial" w:cs="Arial"/>
          <w:color w:val="000000"/>
          <w:sz w:val="20"/>
        </w:rPr>
      </w:pPr>
    </w:p>
    <w:p w:rsidR="00F615F0" w:rsidRDefault="00C323D1">
      <w:pPr>
        <w:pStyle w:val="ListParagraph"/>
        <w:numPr>
          <w:ilvl w:val="0"/>
          <w:numId w:val="30"/>
        </w:numPr>
        <w:spacing w:after="0" w:line="240" w:lineRule="auto"/>
        <w:ind w:right="-15"/>
        <w:jc w:val="both"/>
        <w:rPr>
          <w:rFonts w:ascii="Arial" w:eastAsia="Arial" w:hAnsi="Arial" w:cs="Arial"/>
          <w:color w:val="000000"/>
          <w:sz w:val="20"/>
        </w:rPr>
      </w:pPr>
      <w:r>
        <w:rPr>
          <w:rFonts w:ascii="Arial" w:eastAsia="Arial" w:hAnsi="Arial" w:cs="Arial"/>
          <w:color w:val="000000"/>
          <w:sz w:val="20"/>
        </w:rPr>
        <w:t>Advise and assist in overall planning.</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Plan and coordinate resources.</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Monitor and control progress and quality.</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Communicate with the consultant team.</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Provide feedback and reports to the client.</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statutory requirements.</w:t>
      </w:r>
    </w:p>
    <w:p w:rsidR="00F615F0" w:rsidRDefault="00C323D1">
      <w:pPr>
        <w:pStyle w:val="ListParagraph"/>
        <w:numPr>
          <w:ilvl w:val="0"/>
          <w:numId w:val="22"/>
        </w:numPr>
        <w:spacing w:after="0" w:line="240" w:lineRule="auto"/>
        <w:ind w:right="-15"/>
        <w:jc w:val="both"/>
        <w:rPr>
          <w:rFonts w:ascii="Arial" w:eastAsia="Arial" w:hAnsi="Arial" w:cs="Arial"/>
          <w:color w:val="000000"/>
          <w:sz w:val="20"/>
        </w:rPr>
      </w:pPr>
      <w:r>
        <w:rPr>
          <w:rFonts w:ascii="Arial" w:eastAsia="Arial" w:hAnsi="Arial" w:cs="Arial"/>
          <w:color w:val="000000"/>
          <w:sz w:val="20"/>
        </w:rPr>
        <w:t>Ensure that all aspects of the project are carried out in accordance with company policy.</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site staff</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The contractor's site-based staff will consist of some or all of the following personnel:</w:t>
      </w:r>
    </w:p>
    <w:p w:rsidR="00F615F0" w:rsidRDefault="00F615F0">
      <w:pPr>
        <w:spacing w:after="0" w:line="240" w:lineRule="auto"/>
        <w:ind w:right="-15"/>
        <w:jc w:val="both"/>
        <w:rPr>
          <w:rFonts w:ascii="Arial" w:eastAsia="Arial" w:hAnsi="Arial" w:cs="Arial"/>
          <w:color w:val="000000"/>
          <w:sz w:val="20"/>
        </w:rPr>
      </w:pP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General foreman.</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foreman.</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Trade foreman.</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Ganger.</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Operatives.</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engineer.</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Site supervisor.</w:t>
      </w:r>
    </w:p>
    <w:p w:rsidR="00F615F0" w:rsidRDefault="00C323D1">
      <w:pPr>
        <w:pStyle w:val="ListParagraph"/>
        <w:numPr>
          <w:ilvl w:val="0"/>
          <w:numId w:val="23"/>
        </w:numPr>
        <w:spacing w:after="0" w:line="240" w:lineRule="auto"/>
        <w:ind w:right="-15"/>
        <w:jc w:val="both"/>
        <w:rPr>
          <w:rFonts w:ascii="Arial" w:eastAsia="Arial" w:hAnsi="Arial" w:cs="Arial"/>
          <w:color w:val="000000"/>
          <w:sz w:val="20"/>
        </w:rPr>
      </w:pPr>
      <w:r>
        <w:rPr>
          <w:rFonts w:ascii="Arial" w:eastAsia="Arial" w:hAnsi="Arial" w:cs="Arial"/>
          <w:color w:val="000000"/>
          <w:sz w:val="20"/>
        </w:rPr>
        <w:t>Planner.</w:t>
      </w:r>
    </w:p>
    <w:p w:rsidR="00F615F0" w:rsidRDefault="00C323D1">
      <w:pPr>
        <w:spacing w:after="0" w:line="240" w:lineRule="auto"/>
        <w:ind w:right="-15"/>
        <w:jc w:val="both"/>
        <w:rPr>
          <w:rFonts w:ascii="Arial" w:eastAsia="Arial" w:hAnsi="Arial" w:cs="Arial"/>
          <w:color w:val="000000"/>
          <w:sz w:val="20"/>
        </w:rPr>
      </w:pPr>
      <w:r>
        <w:rPr>
          <w:rFonts w:ascii="Arial" w:eastAsia="Arial" w:hAnsi="Arial" w:cs="Arial"/>
          <w:color w:val="000000"/>
          <w:sz w:val="20"/>
        </w:rPr>
        <w:t>Other support staff:</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Bonus surveyor.</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Contractor's cost controller.</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Buyer.</w:t>
      </w:r>
    </w:p>
    <w:p w:rsidR="00F615F0" w:rsidRDefault="00C323D1">
      <w:pPr>
        <w:pStyle w:val="ListParagraph"/>
        <w:numPr>
          <w:ilvl w:val="0"/>
          <w:numId w:val="24"/>
        </w:numPr>
        <w:spacing w:after="0" w:line="240" w:lineRule="auto"/>
        <w:ind w:right="-15"/>
        <w:jc w:val="both"/>
        <w:rPr>
          <w:rFonts w:ascii="Arial" w:eastAsia="Arial" w:hAnsi="Arial" w:cs="Arial"/>
          <w:color w:val="000000"/>
          <w:sz w:val="20"/>
        </w:rPr>
      </w:pPr>
      <w:r>
        <w:rPr>
          <w:rFonts w:ascii="Arial" w:eastAsia="Arial" w:hAnsi="Arial" w:cs="Arial"/>
          <w:color w:val="000000"/>
          <w:sz w:val="20"/>
        </w:rPr>
        <w:t>Clerical staff.</w:t>
      </w: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F615F0" w:rsidRDefault="00F615F0">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Default="00D21E25">
      <w:pPr>
        <w:spacing w:after="0" w:line="240" w:lineRule="auto"/>
        <w:ind w:right="-15"/>
        <w:jc w:val="both"/>
        <w:rPr>
          <w:rFonts w:ascii="Arial" w:eastAsia="Arial" w:hAnsi="Arial" w:cs="Arial"/>
          <w:color w:val="000000"/>
          <w:sz w:val="20"/>
        </w:rPr>
      </w:pPr>
    </w:p>
    <w:p w:rsidR="00D21E25" w:rsidRPr="00D21E25" w:rsidRDefault="00D21E25" w:rsidP="00D21E25">
      <w:pPr>
        <w:pStyle w:val="ListParagraph"/>
        <w:numPr>
          <w:ilvl w:val="0"/>
          <w:numId w:val="32"/>
        </w:numPr>
        <w:spacing w:after="0" w:line="240" w:lineRule="auto"/>
        <w:ind w:right="-15"/>
        <w:jc w:val="center"/>
        <w:rPr>
          <w:rFonts w:ascii="Arial" w:eastAsia="Arial" w:hAnsi="Arial" w:cs="Arial"/>
          <w:b/>
          <w:color w:val="000000"/>
          <w:sz w:val="40"/>
          <w:szCs w:val="40"/>
          <w:u w:val="double"/>
        </w:rPr>
      </w:pPr>
      <w:r w:rsidRPr="00D21E25">
        <w:rPr>
          <w:rFonts w:ascii="Arial" w:eastAsia="Arial" w:hAnsi="Arial" w:cs="Arial"/>
          <w:b/>
          <w:color w:val="000000"/>
          <w:sz w:val="40"/>
          <w:szCs w:val="40"/>
          <w:u w:val="double"/>
        </w:rPr>
        <w:t>Gantt Chart</w:t>
      </w:r>
    </w:p>
    <w:p w:rsidR="00F615F0" w:rsidRDefault="00C323D1">
      <w:pPr>
        <w:spacing w:after="0" w:line="240" w:lineRule="auto"/>
        <w:ind w:right="-15"/>
        <w:jc w:val="both"/>
        <w:rPr>
          <w:rFonts w:ascii="Arial" w:eastAsia="Arial" w:hAnsi="Arial" w:cs="Arial"/>
          <w:b/>
          <w:color w:val="000000"/>
          <w:sz w:val="20"/>
        </w:rPr>
      </w:pPr>
      <w:r>
        <w:rPr>
          <w:noProof/>
        </w:rPr>
        <w:lastRenderedPageBreak/>
        <w:drawing>
          <wp:inline distT="0" distB="0" distL="0" distR="0">
            <wp:extent cx="5717259" cy="8050192"/>
            <wp:effectExtent l="0" t="0" r="0" b="8255"/>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5719139" cy="8052839"/>
                    </a:xfrm>
                    <a:prstGeom prst="rect">
                      <a:avLst/>
                    </a:prstGeom>
                    <a:ln>
                      <a:noFill/>
                    </a:ln>
                  </pic:spPr>
                </pic:pic>
              </a:graphicData>
            </a:graphic>
          </wp:inline>
        </w:drawing>
      </w:r>
    </w:p>
    <w:p w:rsidR="00F615F0" w:rsidRDefault="00C323D1">
      <w:pPr>
        <w:spacing w:after="0" w:line="240" w:lineRule="auto"/>
        <w:ind w:right="-15"/>
        <w:jc w:val="both"/>
        <w:rPr>
          <w:rFonts w:ascii="Arial" w:eastAsia="Arial" w:hAnsi="Arial" w:cs="Arial"/>
          <w:b/>
          <w:color w:val="000000"/>
          <w:sz w:val="20"/>
        </w:rPr>
      </w:pPr>
      <w:r>
        <w:rPr>
          <w:noProof/>
        </w:rPr>
        <w:lastRenderedPageBreak/>
        <w:drawing>
          <wp:inline distT="0" distB="0" distL="114300" distR="114300">
            <wp:extent cx="5749290" cy="82296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5F0" w:rsidRDefault="00F615F0">
      <w:pPr>
        <w:spacing w:after="0" w:line="240" w:lineRule="auto"/>
        <w:ind w:right="-15"/>
        <w:jc w:val="both"/>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tbl>
      <w:tblPr>
        <w:tblStyle w:val="TableGrid"/>
        <w:tblW w:w="9801" w:type="dxa"/>
        <w:tblInd w:w="132" w:type="dxa"/>
        <w:tblCellMar>
          <w:left w:w="36" w:type="dxa"/>
          <w:right w:w="11" w:type="dxa"/>
        </w:tblCellMar>
        <w:tblLook w:val="04A0" w:firstRow="1" w:lastRow="0" w:firstColumn="1" w:lastColumn="0" w:noHBand="0" w:noVBand="1"/>
      </w:tblPr>
      <w:tblGrid>
        <w:gridCol w:w="844"/>
        <w:gridCol w:w="3480"/>
        <w:gridCol w:w="628"/>
        <w:gridCol w:w="1109"/>
        <w:gridCol w:w="909"/>
        <w:gridCol w:w="2831"/>
      </w:tblGrid>
      <w:tr w:rsidR="00F615F0">
        <w:trPr>
          <w:trHeight w:val="972"/>
        </w:trPr>
        <w:tc>
          <w:tcPr>
            <w:tcW w:w="9801" w:type="dxa"/>
            <w:gridSpan w:val="6"/>
            <w:tcBorders>
              <w:top w:val="single" w:sz="8" w:space="0" w:color="1A1A1A"/>
              <w:left w:val="single" w:sz="8" w:space="0" w:color="1A1A1A"/>
              <w:bottom w:val="single" w:sz="8" w:space="0" w:color="1A1A1A"/>
              <w:right w:val="single" w:sz="8" w:space="0" w:color="1A1A1A"/>
            </w:tcBorders>
            <w:vAlign w:val="center"/>
          </w:tcPr>
          <w:p w:rsidR="00F615F0" w:rsidRDefault="00C323D1">
            <w:pPr>
              <w:jc w:val="center"/>
            </w:pPr>
            <w:r>
              <w:rPr>
                <w:rFonts w:ascii="Times New Roman" w:eastAsia="Times New Roman" w:hAnsi="Times New Roman"/>
                <w:b/>
                <w:sz w:val="28"/>
              </w:rPr>
              <w:t xml:space="preserve">BILL OF QUANTITY (BEME) FOR THE REHABILITATION OF ALFA-BELGORE HALL, ABUAD </w:t>
            </w:r>
          </w:p>
        </w:tc>
      </w:tr>
      <w:tr w:rsidR="00F615F0">
        <w:trPr>
          <w:trHeight w:val="290"/>
        </w:trPr>
        <w:tc>
          <w:tcPr>
            <w:tcW w:w="9801" w:type="dxa"/>
            <w:gridSpan w:val="6"/>
            <w:tcBorders>
              <w:top w:val="single" w:sz="8" w:space="0" w:color="1A1A1A"/>
              <w:left w:val="single" w:sz="8" w:space="0" w:color="1A1A1A"/>
              <w:bottom w:val="single" w:sz="8" w:space="0" w:color="1A1A1A"/>
              <w:right w:val="single" w:sz="8" w:space="0" w:color="1A1A1A"/>
            </w:tcBorders>
          </w:tcPr>
          <w:p w:rsidR="00F615F0" w:rsidRDefault="00C323D1">
            <w:pPr>
              <w:jc w:val="center"/>
            </w:pPr>
            <w:r>
              <w:rPr>
                <w:rFonts w:ascii="Times New Roman" w:eastAsia="Times New Roman" w:hAnsi="Times New Roman"/>
                <w:b/>
                <w:sz w:val="20"/>
              </w:rPr>
              <w:t>ESTIMATE AMOUNT ₦.- 15,000,000</w:t>
            </w:r>
          </w:p>
        </w:tc>
      </w:tr>
      <w:tr w:rsidR="00F615F0">
        <w:trPr>
          <w:trHeight w:val="377"/>
        </w:trPr>
        <w:tc>
          <w:tcPr>
            <w:tcW w:w="9801" w:type="dxa"/>
            <w:gridSpan w:val="6"/>
            <w:tcBorders>
              <w:top w:val="single" w:sz="8" w:space="0" w:color="1A1A1A"/>
              <w:left w:val="single" w:sz="8" w:space="0" w:color="1A1A1A"/>
              <w:bottom w:val="single" w:sz="8" w:space="0" w:color="1A1A1A"/>
              <w:right w:val="single" w:sz="8" w:space="0" w:color="1A1A1A"/>
            </w:tcBorders>
          </w:tcPr>
          <w:p w:rsidR="00F615F0" w:rsidRDefault="00C323D1">
            <w:pPr>
              <w:jc w:val="center"/>
            </w:pPr>
            <w:r>
              <w:rPr>
                <w:rFonts w:ascii="Times New Roman" w:eastAsia="Times New Roman" w:hAnsi="Times New Roman"/>
                <w:b/>
                <w:sz w:val="28"/>
              </w:rPr>
              <w:t>CIVIL WORK</w:t>
            </w:r>
          </w:p>
        </w:tc>
      </w:tr>
      <w:tr w:rsidR="00F615F0">
        <w:trPr>
          <w:trHeight w:val="534"/>
        </w:trPr>
        <w:tc>
          <w:tcPr>
            <w:tcW w:w="315" w:type="dxa"/>
            <w:tcBorders>
              <w:top w:val="single" w:sz="8" w:space="0" w:color="1A1A1A"/>
              <w:left w:val="single" w:sz="8" w:space="0" w:color="1A1A1A"/>
              <w:bottom w:val="single" w:sz="2" w:space="0" w:color="000000"/>
              <w:right w:val="single" w:sz="2" w:space="0" w:color="000000"/>
            </w:tcBorders>
          </w:tcPr>
          <w:p w:rsidR="00F615F0" w:rsidRDefault="00F615F0"/>
        </w:tc>
        <w:tc>
          <w:tcPr>
            <w:tcW w:w="3749" w:type="dxa"/>
            <w:tcBorders>
              <w:top w:val="single" w:sz="8" w:space="0" w:color="1A1A1A"/>
              <w:left w:val="single" w:sz="2" w:space="0" w:color="000000"/>
              <w:bottom w:val="single" w:sz="2" w:space="0" w:color="000000"/>
              <w:right w:val="single" w:sz="2" w:space="0" w:color="000000"/>
            </w:tcBorders>
            <w:vAlign w:val="bottom"/>
          </w:tcPr>
          <w:p w:rsidR="00F615F0" w:rsidRDefault="00C323D1">
            <w:pPr>
              <w:jc w:val="center"/>
            </w:pPr>
            <w:r>
              <w:rPr>
                <w:rFonts w:eastAsia="Calibri" w:cs="Calibri"/>
                <w:b/>
              </w:rPr>
              <w:t>item</w:t>
            </w:r>
          </w:p>
        </w:tc>
        <w:tc>
          <w:tcPr>
            <w:tcW w:w="641" w:type="dxa"/>
            <w:tcBorders>
              <w:top w:val="single" w:sz="8" w:space="0" w:color="1A1A1A"/>
              <w:left w:val="single" w:sz="2" w:space="0" w:color="000000"/>
              <w:bottom w:val="single" w:sz="2" w:space="0" w:color="000000"/>
              <w:right w:val="single" w:sz="2" w:space="0" w:color="000000"/>
            </w:tcBorders>
            <w:vAlign w:val="bottom"/>
          </w:tcPr>
          <w:p w:rsidR="00F615F0" w:rsidRDefault="00C323D1">
            <w:pPr>
              <w:ind w:left="103"/>
            </w:pPr>
            <w:r>
              <w:rPr>
                <w:rFonts w:eastAsia="Calibri" w:cs="Calibri"/>
                <w:b/>
              </w:rPr>
              <w:t>Unit</w:t>
            </w:r>
          </w:p>
        </w:tc>
        <w:tc>
          <w:tcPr>
            <w:tcW w:w="1117" w:type="dxa"/>
            <w:tcBorders>
              <w:top w:val="single" w:sz="8" w:space="0" w:color="1A1A1A"/>
              <w:left w:val="single" w:sz="2" w:space="0" w:color="000000"/>
              <w:bottom w:val="single" w:sz="2" w:space="0" w:color="000000"/>
              <w:right w:val="single" w:sz="2" w:space="0" w:color="000000"/>
            </w:tcBorders>
            <w:vAlign w:val="bottom"/>
          </w:tcPr>
          <w:p w:rsidR="00F615F0" w:rsidRDefault="00C323D1">
            <w:pPr>
              <w:ind w:left="48"/>
              <w:jc w:val="both"/>
            </w:pPr>
            <w:r>
              <w:rPr>
                <w:rFonts w:eastAsia="Calibri" w:cs="Calibri"/>
                <w:b/>
              </w:rPr>
              <w:t>QUANTITY</w:t>
            </w:r>
          </w:p>
        </w:tc>
        <w:tc>
          <w:tcPr>
            <w:tcW w:w="913" w:type="dxa"/>
            <w:tcBorders>
              <w:top w:val="single" w:sz="8" w:space="0" w:color="1A1A1A"/>
              <w:left w:val="single" w:sz="2" w:space="0" w:color="000000"/>
              <w:bottom w:val="single" w:sz="2" w:space="0" w:color="000000"/>
              <w:right w:val="single" w:sz="2" w:space="0" w:color="000000"/>
            </w:tcBorders>
            <w:vAlign w:val="bottom"/>
          </w:tcPr>
          <w:p w:rsidR="00F615F0" w:rsidRDefault="00C323D1">
            <w:pPr>
              <w:jc w:val="center"/>
            </w:pPr>
            <w:r>
              <w:rPr>
                <w:rFonts w:eastAsia="Calibri" w:cs="Calibri"/>
                <w:b/>
              </w:rPr>
              <w:t>Rate</w:t>
            </w:r>
          </w:p>
        </w:tc>
        <w:tc>
          <w:tcPr>
            <w:tcW w:w="3066" w:type="dxa"/>
            <w:tcBorders>
              <w:top w:val="single" w:sz="8" w:space="0" w:color="1A1A1A"/>
              <w:left w:val="single" w:sz="2" w:space="0" w:color="000000"/>
              <w:bottom w:val="single" w:sz="2" w:space="0" w:color="000000"/>
              <w:right w:val="single" w:sz="8" w:space="0" w:color="1A1A1A"/>
            </w:tcBorders>
          </w:tcPr>
          <w:p w:rsidR="00F615F0" w:rsidRDefault="00C323D1">
            <w:pPr>
              <w:spacing w:after="56"/>
              <w:jc w:val="center"/>
            </w:pPr>
            <w:r>
              <w:rPr>
                <w:rFonts w:eastAsia="Calibri" w:cs="Calibri"/>
                <w:b/>
              </w:rPr>
              <w:t xml:space="preserve">Amount </w:t>
            </w:r>
          </w:p>
          <w:p w:rsidR="00F615F0" w:rsidRDefault="00C323D1">
            <w:pPr>
              <w:jc w:val="center"/>
            </w:pPr>
            <w:r>
              <w:rPr>
                <w:rFonts w:eastAsia="Calibri" w:cs="Calibri"/>
                <w:b/>
              </w:rPr>
              <w:t>(In ₦.)</w:t>
            </w:r>
          </w:p>
        </w:tc>
      </w:tr>
      <w:tr w:rsidR="00F615F0">
        <w:trPr>
          <w:trHeight w:val="861"/>
        </w:trPr>
        <w:tc>
          <w:tcPr>
            <w:tcW w:w="315" w:type="dxa"/>
            <w:tcBorders>
              <w:top w:val="single" w:sz="2" w:space="0" w:color="000000"/>
              <w:left w:val="single" w:sz="8" w:space="0" w:color="1A1A1A"/>
              <w:bottom w:val="nil"/>
              <w:right w:val="single" w:sz="2" w:space="0" w:color="000000"/>
            </w:tcBorders>
            <w:vAlign w:val="bottom"/>
          </w:tcPr>
          <w:p w:rsidR="00F615F0" w:rsidRDefault="00C323D1">
            <w:pPr>
              <w:jc w:val="center"/>
            </w:pPr>
            <w:r>
              <w:rPr>
                <w:rFonts w:eastAsia="Calibri" w:cs="Calibri"/>
              </w:rPr>
              <w:t>6.3A</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Brick work with bricks of class designation 100A  Brick work in superstructure above plinth level up to floor V cumb</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01"/>
            </w:pPr>
            <w:r>
              <w:rPr>
                <w:rFonts w:eastAsia="Calibri" w:cs="Calibri"/>
              </w:rPr>
              <w:t>cub</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single" w:sz="8" w:space="0" w:color="1A1A1A"/>
            </w:tcBorders>
          </w:tcPr>
          <w:p w:rsidR="00F615F0" w:rsidRDefault="00F615F0"/>
        </w:tc>
      </w:tr>
      <w:tr w:rsidR="00F615F0">
        <w:trPr>
          <w:trHeight w:val="240"/>
        </w:trPr>
        <w:tc>
          <w:tcPr>
            <w:tcW w:w="315" w:type="dxa"/>
            <w:tcBorders>
              <w:top w:val="nil"/>
              <w:left w:val="sing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5"/>
              <w:jc w:val="right"/>
            </w:pPr>
            <w:r>
              <w:rPr>
                <w:rFonts w:eastAsia="Calibri" w:cs="Calibri"/>
              </w:rPr>
              <w:t>7.1</w:t>
            </w:r>
          </w:p>
        </w:tc>
        <w:tc>
          <w:tcPr>
            <w:tcW w:w="913" w:type="dxa"/>
            <w:tcBorders>
              <w:top w:val="nil"/>
              <w:left w:val="single" w:sz="2" w:space="0" w:color="000000"/>
              <w:bottom w:val="single" w:sz="2" w:space="0" w:color="000000"/>
              <w:right w:val="single" w:sz="2" w:space="0" w:color="000000"/>
            </w:tcBorders>
          </w:tcPr>
          <w:p w:rsidR="00F615F0" w:rsidRDefault="00C323D1">
            <w:pPr>
              <w:jc w:val="right"/>
            </w:pPr>
            <w:r>
              <w:rPr>
                <w:rFonts w:eastAsia="Calibri" w:cs="Calibri"/>
              </w:rPr>
              <w:t>341.7</w:t>
            </w:r>
          </w:p>
        </w:tc>
        <w:tc>
          <w:tcPr>
            <w:tcW w:w="3066" w:type="dxa"/>
            <w:tcBorders>
              <w:top w:val="nil"/>
              <w:left w:val="single" w:sz="2" w:space="0" w:color="000000"/>
              <w:bottom w:val="single" w:sz="2" w:space="0" w:color="000000"/>
              <w:right w:val="single" w:sz="8" w:space="0" w:color="1A1A1A"/>
            </w:tcBorders>
          </w:tcPr>
          <w:p w:rsidR="00F615F0" w:rsidRDefault="00C323D1">
            <w:pPr>
              <w:ind w:right="3"/>
              <w:jc w:val="right"/>
            </w:pPr>
            <w:r>
              <w:rPr>
                <w:rFonts w:eastAsia="Calibri" w:cs="Calibri"/>
              </w:rPr>
              <w:t>2426.07</w:t>
            </w:r>
          </w:p>
        </w:tc>
      </w:tr>
      <w:tr w:rsidR="00F615F0">
        <w:trPr>
          <w:trHeight w:val="553"/>
        </w:trPr>
        <w:tc>
          <w:tcPr>
            <w:tcW w:w="315" w:type="dxa"/>
            <w:tcBorders>
              <w:top w:val="single" w:sz="2" w:space="0" w:color="000000"/>
              <w:left w:val="single" w:sz="8" w:space="0" w:color="1A1A1A"/>
              <w:bottom w:val="nil"/>
              <w:right w:val="single" w:sz="2" w:space="0" w:color="000000"/>
            </w:tcBorders>
            <w:vAlign w:val="bottom"/>
          </w:tcPr>
          <w:p w:rsidR="00F615F0" w:rsidRDefault="00C323D1">
            <w:pPr>
              <w:ind w:left="63"/>
            </w:pPr>
            <w:r>
              <w:rPr>
                <w:rFonts w:eastAsia="Calibri" w:cs="Calibri"/>
              </w:rPr>
              <w:t>13.11.4</w:t>
            </w:r>
          </w:p>
        </w:tc>
        <w:tc>
          <w:tcPr>
            <w:tcW w:w="3749" w:type="dxa"/>
            <w:tcBorders>
              <w:top w:val="single" w:sz="2" w:space="0" w:color="000000"/>
              <w:left w:val="single" w:sz="2" w:space="0" w:color="000000"/>
              <w:bottom w:val="nil"/>
              <w:right w:val="single" w:sz="2" w:space="0" w:color="000000"/>
            </w:tcBorders>
          </w:tcPr>
          <w:p w:rsidR="00F615F0" w:rsidRDefault="00C323D1">
            <w:pPr>
              <w:spacing w:after="57"/>
              <w:jc w:val="both"/>
            </w:pPr>
            <w:r>
              <w:rPr>
                <w:rFonts w:eastAsia="Calibri" w:cs="Calibri"/>
              </w:rPr>
              <w:t xml:space="preserve">12 mm Cement plaster of mix 1:6 ( 1 cement </w:t>
            </w:r>
          </w:p>
          <w:p w:rsidR="00F615F0" w:rsidRDefault="00C323D1">
            <w:r>
              <w:rPr>
                <w:rFonts w:eastAsia="Calibri" w:cs="Calibri"/>
              </w:rPr>
              <w:t>: 6 Coarse sand</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single" w:sz="8" w:space="0" w:color="1A1A1A"/>
            </w:tcBorders>
          </w:tcPr>
          <w:p w:rsidR="00F615F0" w:rsidRDefault="00F615F0"/>
        </w:tc>
      </w:tr>
      <w:tr w:rsidR="00F615F0">
        <w:trPr>
          <w:trHeight w:val="220"/>
        </w:trPr>
        <w:tc>
          <w:tcPr>
            <w:tcW w:w="315" w:type="dxa"/>
            <w:tcBorders>
              <w:top w:val="nil"/>
              <w:left w:val="sing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6"/>
              <w:jc w:val="right"/>
            </w:pPr>
            <w:r>
              <w:rPr>
                <w:rFonts w:eastAsia="Calibri" w:cs="Calibri"/>
              </w:rPr>
              <w:t>213.61</w:t>
            </w:r>
          </w:p>
        </w:tc>
        <w:tc>
          <w:tcPr>
            <w:tcW w:w="913" w:type="dxa"/>
            <w:tcBorders>
              <w:top w:val="nil"/>
              <w:left w:val="single" w:sz="2" w:space="0" w:color="000000"/>
              <w:bottom w:val="single" w:sz="2" w:space="0" w:color="000000"/>
              <w:right w:val="single" w:sz="2" w:space="0" w:color="000000"/>
            </w:tcBorders>
          </w:tcPr>
          <w:p w:rsidR="00F615F0" w:rsidRDefault="00C323D1">
            <w:pPr>
              <w:ind w:right="5"/>
              <w:jc w:val="right"/>
            </w:pPr>
            <w:r>
              <w:rPr>
                <w:rFonts w:eastAsia="Calibri" w:cs="Calibri"/>
              </w:rPr>
              <w:t>72.1</w:t>
            </w:r>
          </w:p>
        </w:tc>
        <w:tc>
          <w:tcPr>
            <w:tcW w:w="3066" w:type="dxa"/>
            <w:tcBorders>
              <w:top w:val="nil"/>
              <w:left w:val="single" w:sz="2" w:space="0" w:color="000000"/>
              <w:bottom w:val="single" w:sz="2" w:space="0" w:color="000000"/>
              <w:right w:val="single" w:sz="8" w:space="0" w:color="1A1A1A"/>
            </w:tcBorders>
          </w:tcPr>
          <w:p w:rsidR="00F615F0" w:rsidRDefault="00C323D1">
            <w:pPr>
              <w:ind w:right="3"/>
              <w:jc w:val="right"/>
            </w:pPr>
            <w:r>
              <w:rPr>
                <w:rFonts w:eastAsia="Calibri" w:cs="Calibri"/>
              </w:rPr>
              <w:t>15401.28</w:t>
            </w:r>
          </w:p>
        </w:tc>
      </w:tr>
      <w:tr w:rsidR="00F615F0">
        <w:trPr>
          <w:trHeight w:val="2139"/>
        </w:trPr>
        <w:tc>
          <w:tcPr>
            <w:tcW w:w="315" w:type="dxa"/>
            <w:tcBorders>
              <w:top w:val="single" w:sz="2" w:space="0" w:color="000000"/>
              <w:left w:val="single" w:sz="8" w:space="0" w:color="1A1A1A"/>
              <w:bottom w:val="nil"/>
              <w:right w:val="single" w:sz="2" w:space="0" w:color="000000"/>
            </w:tcBorders>
            <w:vAlign w:val="bottom"/>
          </w:tcPr>
          <w:p w:rsidR="00F615F0" w:rsidRDefault="00C323D1">
            <w:pPr>
              <w:jc w:val="center"/>
            </w:pPr>
            <w:r>
              <w:rPr>
                <w:rFonts w:eastAsia="Calibri" w:cs="Calibri"/>
              </w:rPr>
              <w:t>14.1</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Repairs to plaster of thickness 12 mm to 20 mm in patches of area 2.5 sqm and under including cutting the patch in proper shape and preparing and plastering the surface of the walls complete including disposal of rubbish to the dumping ground within 50 meters lead.</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single" w:sz="8" w:space="0" w:color="1A1A1A"/>
            </w:tcBorders>
          </w:tcPr>
          <w:p w:rsidR="00F615F0" w:rsidRDefault="00F615F0"/>
        </w:tc>
      </w:tr>
      <w:tr w:rsidR="00F615F0">
        <w:trPr>
          <w:trHeight w:val="357"/>
        </w:trPr>
        <w:tc>
          <w:tcPr>
            <w:tcW w:w="315" w:type="dxa"/>
            <w:tcBorders>
              <w:top w:val="nil"/>
              <w:left w:val="sing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1"/>
              <w:jc w:val="right"/>
            </w:pPr>
            <w:r>
              <w:rPr>
                <w:rFonts w:eastAsia="Calibri" w:cs="Calibri"/>
              </w:rPr>
              <w:t>189.59</w:t>
            </w:r>
          </w:p>
        </w:tc>
        <w:tc>
          <w:tcPr>
            <w:tcW w:w="913" w:type="dxa"/>
            <w:tcBorders>
              <w:top w:val="nil"/>
              <w:left w:val="single" w:sz="2" w:space="0" w:color="000000"/>
              <w:bottom w:val="single" w:sz="2" w:space="0" w:color="000000"/>
              <w:right w:val="single" w:sz="2" w:space="0" w:color="000000"/>
            </w:tcBorders>
          </w:tcPr>
          <w:p w:rsidR="00F615F0" w:rsidRDefault="00C323D1">
            <w:pPr>
              <w:jc w:val="right"/>
            </w:pPr>
            <w:r>
              <w:rPr>
                <w:rFonts w:eastAsia="Calibri" w:cs="Calibri"/>
              </w:rPr>
              <w:t>124.5</w:t>
            </w:r>
          </w:p>
        </w:tc>
        <w:tc>
          <w:tcPr>
            <w:tcW w:w="3066" w:type="dxa"/>
            <w:tcBorders>
              <w:top w:val="nil"/>
              <w:left w:val="single" w:sz="2" w:space="0" w:color="000000"/>
              <w:bottom w:val="single" w:sz="2" w:space="0" w:color="000000"/>
              <w:right w:val="single" w:sz="8" w:space="0" w:color="1A1A1A"/>
            </w:tcBorders>
            <w:vAlign w:val="bottom"/>
          </w:tcPr>
          <w:p w:rsidR="00F615F0" w:rsidRDefault="00C323D1">
            <w:pPr>
              <w:ind w:right="3"/>
              <w:jc w:val="right"/>
            </w:pPr>
            <w:r>
              <w:rPr>
                <w:rFonts w:eastAsia="Calibri" w:cs="Calibri"/>
              </w:rPr>
              <w:t>23603.96</w:t>
            </w:r>
          </w:p>
        </w:tc>
      </w:tr>
      <w:tr w:rsidR="00F615F0">
        <w:trPr>
          <w:trHeight w:val="5634"/>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121"/>
            </w:pPr>
            <w:r>
              <w:rPr>
                <w:rFonts w:eastAsia="Calibri" w:cs="Calibri"/>
              </w:rPr>
              <w:lastRenderedPageBreak/>
              <w:t>25.9.3</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spacing w:after="52" w:line="268" w:lineRule="auto"/>
            </w:pPr>
            <w:r>
              <w:rPr>
                <w:rFonts w:eastAsia="Calibri" w:cs="Calibri"/>
              </w:rPr>
              <w:t xml:space="preserve">Providing and laying in situ seven course water proofing treatment with APP (Atactic Polypropylene) modified Polymeric membrane over roof consisting of first coat of bitumen primer @ 0.40 Kg per sqm, 2nd, 4th &amp; 6th courses of bonding material @ </w:t>
            </w:r>
          </w:p>
          <w:p w:rsidR="00F615F0" w:rsidRDefault="00C323D1">
            <w:pPr>
              <w:spacing w:after="52" w:line="268" w:lineRule="auto"/>
            </w:pPr>
            <w:r>
              <w:rPr>
                <w:rFonts w:eastAsia="Calibri" w:cs="Calibri"/>
              </w:rPr>
              <w:t xml:space="preserve">1.20 Kg/sqm, conforming to IS:702, 3rd and 5th layers of roofing membrane APP modified Polymeric membrane 2.0 mm thick of 3.00 Kg/sqm weight consisting of five </w:t>
            </w:r>
          </w:p>
          <w:p w:rsidR="00F615F0" w:rsidRDefault="00C323D1">
            <w:r>
              <w:rPr>
                <w:rFonts w:eastAsia="Calibri" w:cs="Calibri"/>
              </w:rPr>
              <w:t xml:space="preserve">layers prefabricated with center core as 1 Omicron HMHDPE film sandwiched on both sides with polymeric mix and the polymeric mix is protected on both side with 20 micronHMHDPE film. 7th, the top most layer shall be finished with brick tiles of class designation 100 grouted with cement mortar 1:3 (1 Cement:3 fine sand) mixed with 2% integral water proofing compound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F615F0" w:rsidRDefault="00C323D1">
            <w:pPr>
              <w:jc w:val="center"/>
            </w:pPr>
            <w:r>
              <w:rPr>
                <w:rFonts w:eastAsia="Calibri" w:cs="Calibri"/>
              </w:rPr>
              <w:t>800.22</w:t>
            </w:r>
          </w:p>
        </w:tc>
        <w:tc>
          <w:tcPr>
            <w:tcW w:w="913" w:type="dxa"/>
            <w:tcBorders>
              <w:top w:val="single" w:sz="2" w:space="0" w:color="000000"/>
              <w:left w:val="single" w:sz="2" w:space="0" w:color="000000"/>
              <w:bottom w:val="single" w:sz="2" w:space="0" w:color="000000"/>
              <w:right w:val="single" w:sz="2" w:space="0" w:color="000000"/>
            </w:tcBorders>
            <w:vAlign w:val="center"/>
          </w:tcPr>
          <w:p w:rsidR="00F615F0" w:rsidRDefault="00C323D1">
            <w:pPr>
              <w:jc w:val="center"/>
            </w:pPr>
            <w:r>
              <w:rPr>
                <w:rFonts w:eastAsia="Calibri" w:cs="Calibri"/>
              </w:rPr>
              <w:t>440.4</w:t>
            </w:r>
          </w:p>
        </w:tc>
        <w:tc>
          <w:tcPr>
            <w:tcW w:w="3066" w:type="dxa"/>
            <w:tcBorders>
              <w:top w:val="single" w:sz="2" w:space="0" w:color="000000"/>
              <w:left w:val="single" w:sz="2" w:space="0" w:color="000000"/>
              <w:bottom w:val="single" w:sz="2" w:space="0" w:color="000000"/>
              <w:right w:val="single" w:sz="8" w:space="0" w:color="1A1A1A"/>
            </w:tcBorders>
            <w:vAlign w:val="center"/>
          </w:tcPr>
          <w:p w:rsidR="00F615F0" w:rsidRDefault="00C323D1">
            <w:pPr>
              <w:ind w:right="4"/>
              <w:jc w:val="right"/>
            </w:pPr>
            <w:r>
              <w:rPr>
                <w:rFonts w:eastAsia="Calibri" w:cs="Calibri"/>
              </w:rPr>
              <w:t>352416.89</w:t>
            </w:r>
          </w:p>
        </w:tc>
      </w:tr>
      <w:tr w:rsidR="00F615F0">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147"/>
            </w:pPr>
            <w:r>
              <w:rPr>
                <w:rFonts w:eastAsia="Calibri" w:cs="Calibri"/>
              </w:rPr>
              <w:t>13.40</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by weight of cement over a 12 mm layer of Providing and applying plaster of Paris putty  of 2 mm thickness over plastered surface to prepare the surface even and smooth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right="6"/>
              <w:jc w:val="right"/>
            </w:pPr>
            <w:r>
              <w:rPr>
                <w:rFonts w:eastAsia="Calibri" w:cs="Calibri"/>
              </w:rPr>
              <w:t>1516.15</w:t>
            </w:r>
          </w:p>
        </w:tc>
        <w:tc>
          <w:tcPr>
            <w:tcW w:w="913"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right="5"/>
              <w:jc w:val="right"/>
            </w:pPr>
            <w:r>
              <w:rPr>
                <w:rFonts w:eastAsia="Calibri" w:cs="Calibri"/>
              </w:rPr>
              <w:t>63.8</w:t>
            </w:r>
          </w:p>
        </w:tc>
        <w:tc>
          <w:tcPr>
            <w:tcW w:w="3066" w:type="dxa"/>
            <w:tcBorders>
              <w:top w:val="single" w:sz="2" w:space="0" w:color="000000"/>
              <w:left w:val="single" w:sz="2" w:space="0" w:color="000000"/>
              <w:bottom w:val="single" w:sz="2" w:space="0" w:color="000000"/>
              <w:right w:val="single" w:sz="8" w:space="0" w:color="1A1A1A"/>
            </w:tcBorders>
            <w:vAlign w:val="center"/>
          </w:tcPr>
          <w:p w:rsidR="00F615F0" w:rsidRDefault="00C323D1">
            <w:pPr>
              <w:ind w:right="3"/>
              <w:jc w:val="right"/>
            </w:pPr>
            <w:r>
              <w:rPr>
                <w:rFonts w:eastAsia="Calibri" w:cs="Calibri"/>
              </w:rPr>
              <w:t>96730.37</w:t>
            </w:r>
          </w:p>
        </w:tc>
      </w:tr>
      <w:tr w:rsidR="00F615F0">
        <w:trPr>
          <w:trHeight w:val="1191"/>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147"/>
            </w:pPr>
            <w:r>
              <w:rPr>
                <w:rFonts w:eastAsia="Calibri" w:cs="Calibri"/>
              </w:rPr>
              <w:t>13.74</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Removing white or color wash by scrapping and sand paper in and preparing the surface smooth including necessary repair scratches etc. complete.</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1"/>
              <w:jc w:val="right"/>
            </w:pPr>
            <w:r>
              <w:rPr>
                <w:rFonts w:eastAsia="Calibri" w:cs="Calibri"/>
              </w:rPr>
              <w:t>1326.56</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jc w:val="right"/>
            </w:pPr>
            <w:r>
              <w:rPr>
                <w:rFonts w:eastAsia="Calibri" w:cs="Calibri"/>
              </w:rPr>
              <w:t>3.3</w:t>
            </w:r>
          </w:p>
        </w:tc>
        <w:tc>
          <w:tcPr>
            <w:tcW w:w="3066" w:type="dxa"/>
            <w:tcBorders>
              <w:top w:val="single" w:sz="2" w:space="0" w:color="000000"/>
              <w:left w:val="single" w:sz="2" w:space="0" w:color="000000"/>
              <w:bottom w:val="single" w:sz="2" w:space="0" w:color="000000"/>
              <w:right w:val="single" w:sz="8" w:space="0" w:color="1A1A1A"/>
            </w:tcBorders>
            <w:vAlign w:val="bottom"/>
          </w:tcPr>
          <w:p w:rsidR="00F615F0" w:rsidRDefault="00C323D1">
            <w:pPr>
              <w:ind w:right="3"/>
              <w:jc w:val="right"/>
            </w:pPr>
            <w:r>
              <w:rPr>
                <w:rFonts w:eastAsia="Calibri" w:cs="Calibri"/>
              </w:rPr>
              <w:t>4377.65</w:t>
            </w:r>
          </w:p>
        </w:tc>
      </w:tr>
      <w:tr w:rsidR="00F615F0">
        <w:trPr>
          <w:trHeight w:val="1044"/>
        </w:trPr>
        <w:tc>
          <w:tcPr>
            <w:tcW w:w="315" w:type="dxa"/>
            <w:tcBorders>
              <w:top w:val="single" w:sz="2" w:space="0" w:color="000000"/>
              <w:left w:val="single" w:sz="8" w:space="0" w:color="1A1A1A"/>
              <w:bottom w:val="single" w:sz="2" w:space="0" w:color="000000"/>
              <w:right w:val="single" w:sz="2" w:space="0" w:color="000000"/>
            </w:tcBorders>
            <w:vAlign w:val="center"/>
          </w:tcPr>
          <w:p w:rsidR="00F615F0" w:rsidRDefault="00C323D1">
            <w:pPr>
              <w:ind w:left="63"/>
            </w:pPr>
            <w:r>
              <w:rPr>
                <w:rFonts w:eastAsia="Calibri" w:cs="Calibri"/>
              </w:rPr>
              <w:t>13.78.2</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Applying one coat of cement primer of approved brand and manufacture on wall surface: Distemper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6"/>
              <w:jc w:val="right"/>
            </w:pPr>
            <w:r>
              <w:rPr>
                <w:rFonts w:eastAsia="Calibri" w:cs="Calibri"/>
              </w:rPr>
              <w:t>92.33</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5"/>
              <w:jc w:val="right"/>
            </w:pPr>
            <w:r>
              <w:rPr>
                <w:rFonts w:eastAsia="Calibri" w:cs="Calibri"/>
              </w:rPr>
              <w:t>21.3</w:t>
            </w:r>
          </w:p>
        </w:tc>
        <w:tc>
          <w:tcPr>
            <w:tcW w:w="3066" w:type="dxa"/>
            <w:tcBorders>
              <w:top w:val="single" w:sz="2" w:space="0" w:color="000000"/>
              <w:left w:val="single" w:sz="2" w:space="0" w:color="000000"/>
              <w:bottom w:val="single" w:sz="2" w:space="0" w:color="000000"/>
              <w:right w:val="single" w:sz="8" w:space="0" w:color="1A1A1A"/>
            </w:tcBorders>
            <w:vAlign w:val="bottom"/>
          </w:tcPr>
          <w:p w:rsidR="00F615F0" w:rsidRDefault="00C323D1">
            <w:pPr>
              <w:ind w:right="3"/>
              <w:jc w:val="right"/>
            </w:pPr>
            <w:r>
              <w:rPr>
                <w:rFonts w:eastAsia="Calibri" w:cs="Calibri"/>
              </w:rPr>
              <w:t>1966.63</w:t>
            </w:r>
          </w:p>
        </w:tc>
      </w:tr>
      <w:tr w:rsidR="00F615F0">
        <w:trPr>
          <w:trHeight w:val="1306"/>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both"/>
            </w:pPr>
            <w:r>
              <w:rPr>
                <w:rFonts w:eastAsia="Calibri" w:cs="Calibri"/>
              </w:rPr>
              <w:t>13.77A.1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Distempering with oil bound wash bled distemper of approved brand and manufacture to give an even shade: Two or more coats on new work</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2"/>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1515</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26.3</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1"/>
              <w:jc w:val="right"/>
            </w:pPr>
            <w:r>
              <w:rPr>
                <w:rFonts w:eastAsia="Calibri" w:cs="Calibri"/>
              </w:rPr>
              <w:t>39844.50</w:t>
            </w:r>
          </w:p>
        </w:tc>
      </w:tr>
      <w:tr w:rsidR="00F615F0">
        <w:trPr>
          <w:trHeight w:val="2686"/>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lastRenderedPageBreak/>
              <w:t>10.5</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Providing and fixing in position collapsible steel shutters with vertical channels 20x10x2 mm and braced with flat iron diagonals 20x5 mm size with top and bottom rail of T-torn 40x40x6 mm with 40 mm dika steel pulleys complete with bots and nuts locking arrangement stoppers handles including applying a priming coat of approved steel primer.</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4"/>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5.2</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17"/>
              <w:jc w:val="right"/>
            </w:pPr>
            <w:r>
              <w:rPr>
                <w:rFonts w:eastAsia="Calibri" w:cs="Calibri"/>
              </w:rPr>
              <w:t>3225.7</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1"/>
              <w:jc w:val="right"/>
            </w:pPr>
            <w:r>
              <w:rPr>
                <w:rFonts w:eastAsia="Calibri" w:cs="Calibri"/>
              </w:rPr>
              <w:t>16773.64</w:t>
            </w:r>
          </w:p>
        </w:tc>
      </w:tr>
      <w:tr w:rsidR="00F615F0">
        <w:trPr>
          <w:trHeight w:val="1624"/>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120"/>
            </w:pPr>
            <w:r>
              <w:rPr>
                <w:rFonts w:eastAsia="Calibri" w:cs="Calibri"/>
              </w:rPr>
              <w:t>9.82.2</w:t>
            </w:r>
          </w:p>
        </w:tc>
        <w:tc>
          <w:tcPr>
            <w:tcW w:w="3749" w:type="dxa"/>
            <w:tcBorders>
              <w:top w:val="single" w:sz="2" w:space="0" w:color="000000"/>
              <w:left w:val="single" w:sz="2" w:space="0" w:color="000000"/>
              <w:bottom w:val="nil"/>
              <w:right w:val="single" w:sz="2" w:space="0" w:color="000000"/>
            </w:tcBorders>
          </w:tcPr>
          <w:p w:rsidR="00F615F0" w:rsidRDefault="00C323D1">
            <w:pPr>
              <w:spacing w:after="52" w:line="269" w:lineRule="auto"/>
              <w:ind w:left="1" w:right="15"/>
            </w:pPr>
            <w:r>
              <w:rPr>
                <w:rFonts w:eastAsia="Calibri" w:cs="Calibri"/>
              </w:rPr>
              <w:t xml:space="preserve">Providing and fixing M.s. grills of requirement pattern in frames of windows etc. with M.S. flats, square or round bars etc. </w:t>
            </w:r>
          </w:p>
          <w:p w:rsidR="00F615F0" w:rsidRDefault="00C323D1">
            <w:pPr>
              <w:ind w:left="1"/>
            </w:pPr>
            <w:r>
              <w:rPr>
                <w:rFonts w:eastAsia="Calibri" w:cs="Calibri"/>
              </w:rPr>
              <w:t>all complete fixed to openings/wooden frames with raw plugs screws etc.</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423"/>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3000</w:t>
            </w:r>
          </w:p>
        </w:tc>
        <w:tc>
          <w:tcPr>
            <w:tcW w:w="913" w:type="dxa"/>
            <w:tcBorders>
              <w:top w:val="nil"/>
              <w:left w:val="single" w:sz="2" w:space="0" w:color="000000"/>
              <w:bottom w:val="single" w:sz="2" w:space="0" w:color="000000"/>
              <w:right w:val="single" w:sz="2" w:space="0" w:color="000000"/>
            </w:tcBorders>
            <w:vAlign w:val="bottom"/>
          </w:tcPr>
          <w:p w:rsidR="00F615F0" w:rsidRDefault="00C323D1">
            <w:pPr>
              <w:ind w:right="16"/>
              <w:jc w:val="right"/>
            </w:pPr>
            <w:r>
              <w:rPr>
                <w:rFonts w:eastAsia="Calibri" w:cs="Calibri"/>
              </w:rPr>
              <w:t>83.4</w:t>
            </w:r>
          </w:p>
        </w:tc>
        <w:tc>
          <w:tcPr>
            <w:tcW w:w="3066" w:type="dxa"/>
            <w:tcBorders>
              <w:top w:val="nil"/>
              <w:left w:val="single" w:sz="2" w:space="0" w:color="000000"/>
              <w:bottom w:val="single" w:sz="2" w:space="0" w:color="000000"/>
              <w:right w:val="double" w:sz="8" w:space="0" w:color="1A1A1A"/>
            </w:tcBorders>
            <w:vAlign w:val="bottom"/>
          </w:tcPr>
          <w:p w:rsidR="00F615F0" w:rsidRDefault="00C323D1">
            <w:pPr>
              <w:ind w:right="22"/>
              <w:jc w:val="right"/>
            </w:pPr>
            <w:r>
              <w:rPr>
                <w:rFonts w:eastAsia="Calibri" w:cs="Calibri"/>
              </w:rPr>
              <w:t>250200.00</w:t>
            </w:r>
          </w:p>
        </w:tc>
      </w:tr>
      <w:tr w:rsidR="00F615F0">
        <w:trPr>
          <w:trHeight w:val="4626"/>
        </w:trPr>
        <w:tc>
          <w:tcPr>
            <w:tcW w:w="315" w:type="dxa"/>
            <w:tcBorders>
              <w:top w:val="single" w:sz="2" w:space="0" w:color="000000"/>
              <w:left w:val="double" w:sz="8" w:space="0" w:color="1A1A1A"/>
              <w:bottom w:val="nil"/>
              <w:right w:val="single" w:sz="2" w:space="0" w:color="000000"/>
            </w:tcBorders>
            <w:vAlign w:val="bottom"/>
          </w:tcPr>
          <w:p w:rsidR="00F615F0" w:rsidRDefault="00C323D1">
            <w:pPr>
              <w:jc w:val="center"/>
            </w:pPr>
            <w:r>
              <w:rPr>
                <w:rFonts w:eastAsia="Calibri" w:cs="Calibri"/>
              </w:rPr>
              <w:t>24.1</w:t>
            </w:r>
          </w:p>
        </w:tc>
        <w:tc>
          <w:tcPr>
            <w:tcW w:w="3749" w:type="dxa"/>
            <w:tcBorders>
              <w:top w:val="single" w:sz="2" w:space="0" w:color="000000"/>
              <w:left w:val="single" w:sz="2" w:space="0" w:color="000000"/>
              <w:bottom w:val="nil"/>
              <w:right w:val="single" w:sz="2" w:space="0" w:color="000000"/>
            </w:tcBorders>
          </w:tcPr>
          <w:p w:rsidR="00F615F0" w:rsidRDefault="00C323D1">
            <w:pPr>
              <w:spacing w:after="52" w:line="268" w:lineRule="auto"/>
              <w:ind w:left="1"/>
            </w:pPr>
            <w:r>
              <w:rPr>
                <w:rFonts w:eastAsia="Calibri" w:cs="Calibri"/>
              </w:rPr>
              <w:t xml:space="preserve">Providing and fixing anodized aluminum work for doors and windows and ventilators and partitions with extruded built up standard tubular and other sections of approved make conforming to IS : 733 and IS : 1285, anodized transparent or dyed to required shade according to IS : </w:t>
            </w:r>
          </w:p>
          <w:p w:rsidR="00F615F0" w:rsidRDefault="00C323D1">
            <w:pPr>
              <w:spacing w:after="52" w:line="268" w:lineRule="auto"/>
              <w:ind w:left="1"/>
            </w:pPr>
            <w:r>
              <w:rPr>
                <w:rFonts w:eastAsia="Calibri" w:cs="Calibri"/>
              </w:rPr>
              <w:t xml:space="preserve">1868,(Minimum anodic coating of grade AC 15), fixed with raw plugs and screws or with fixing clips , or with expansion hold fastners including necessary filling up of gaps at junctions, at top, bottom and sides with required PVC/neoprene felt etc.Aluminium snap beading for glazing/paneling, C.P. </w:t>
            </w:r>
          </w:p>
          <w:p w:rsidR="00F615F0" w:rsidRDefault="00C323D1">
            <w:pPr>
              <w:ind w:left="1"/>
            </w:pPr>
            <w:r>
              <w:rPr>
                <w:rFonts w:eastAsia="Calibri" w:cs="Calibri"/>
              </w:rPr>
              <w:t xml:space="preserve">brass/stainless steel screws, all complete as per architectural drawings and the </w:t>
            </w:r>
          </w:p>
        </w:tc>
        <w:tc>
          <w:tcPr>
            <w:tcW w:w="641" w:type="dxa"/>
            <w:tcBorders>
              <w:top w:val="single" w:sz="2" w:space="0" w:color="000000"/>
              <w:left w:val="single" w:sz="2" w:space="0" w:color="000000"/>
              <w:bottom w:val="nil"/>
              <w:right w:val="single" w:sz="2" w:space="0" w:color="000000"/>
            </w:tcBorders>
          </w:tcPr>
          <w:p w:rsidR="00F615F0" w:rsidRDefault="00F615F0"/>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27"/>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vAlign w:val="bottom"/>
          </w:tcPr>
          <w:p w:rsidR="00F615F0" w:rsidRDefault="00C323D1">
            <w:pPr>
              <w:ind w:left="1"/>
              <w:jc w:val="both"/>
            </w:pPr>
            <w:r>
              <w:rPr>
                <w:rFonts w:eastAsia="Calibri" w:cs="Calibri"/>
              </w:rPr>
              <w:t xml:space="preserve">Directions of Engineer-in-charge. (Glazing and </w:t>
            </w:r>
          </w:p>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F615F0"/>
        </w:tc>
        <w:tc>
          <w:tcPr>
            <w:tcW w:w="913" w:type="dxa"/>
            <w:tcBorders>
              <w:top w:val="nil"/>
              <w:left w:val="single" w:sz="2" w:space="0" w:color="000000"/>
              <w:bottom w:val="single" w:sz="2" w:space="0" w:color="000000"/>
              <w:right w:val="single" w:sz="2" w:space="0" w:color="000000"/>
            </w:tcBorders>
          </w:tcPr>
          <w:p w:rsidR="00F615F0" w:rsidRDefault="00F615F0"/>
        </w:tc>
        <w:tc>
          <w:tcPr>
            <w:tcW w:w="3066" w:type="dxa"/>
            <w:tcBorders>
              <w:top w:val="nil"/>
              <w:left w:val="single" w:sz="2" w:space="0" w:color="000000"/>
              <w:bottom w:val="single" w:sz="2" w:space="0" w:color="000000"/>
              <w:right w:val="double" w:sz="8" w:space="0" w:color="1A1A1A"/>
            </w:tcBorders>
          </w:tcPr>
          <w:p w:rsidR="00F615F0" w:rsidRDefault="00C323D1">
            <w:pPr>
              <w:ind w:right="20"/>
              <w:jc w:val="right"/>
            </w:pPr>
            <w:r>
              <w:rPr>
                <w:rFonts w:eastAsia="Calibri" w:cs="Calibri"/>
              </w:rPr>
              <w:t>0.00</w:t>
            </w:r>
          </w:p>
        </w:tc>
      </w:tr>
      <w:tr w:rsidR="00F615F0">
        <w:trPr>
          <w:trHeight w:val="605"/>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ind w:left="120"/>
            </w:pPr>
            <w:r>
              <w:rPr>
                <w:rFonts w:eastAsia="Calibri" w:cs="Calibri"/>
              </w:rPr>
              <w:t>24.1.1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 xml:space="preserve"> Fix portion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jc w:val="center"/>
            </w:pPr>
            <w:r>
              <w:rPr>
                <w:rFonts w:eastAsia="Calibri" w:cs="Calibri"/>
              </w:rPr>
              <w:t>Kg</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2"/>
              <w:jc w:val="right"/>
            </w:pPr>
            <w:r>
              <w:rPr>
                <w:rFonts w:eastAsia="Calibri" w:cs="Calibri"/>
              </w:rPr>
              <w:t>293.41</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1"/>
              <w:jc w:val="right"/>
            </w:pPr>
            <w:r>
              <w:rPr>
                <w:rFonts w:eastAsia="Calibri" w:cs="Calibri"/>
              </w:rPr>
              <w:t>343.4</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2"/>
              <w:jc w:val="right"/>
            </w:pPr>
            <w:r>
              <w:rPr>
                <w:rFonts w:eastAsia="Calibri" w:cs="Calibri"/>
              </w:rPr>
              <w:t>100756.99</w:t>
            </w:r>
          </w:p>
        </w:tc>
      </w:tr>
      <w:tr w:rsidR="00F615F0">
        <w:trPr>
          <w:trHeight w:val="1828"/>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120"/>
            </w:pPr>
            <w:r>
              <w:rPr>
                <w:rFonts w:eastAsia="Calibri" w:cs="Calibri"/>
              </w:rPr>
              <w:lastRenderedPageBreak/>
              <w:t>24.1.2</w:t>
            </w:r>
          </w:p>
        </w:tc>
        <w:tc>
          <w:tcPr>
            <w:tcW w:w="3749" w:type="dxa"/>
            <w:tcBorders>
              <w:top w:val="single" w:sz="2" w:space="0" w:color="000000"/>
              <w:left w:val="single" w:sz="2" w:space="0" w:color="000000"/>
              <w:bottom w:val="nil"/>
              <w:right w:val="single" w:sz="2" w:space="0" w:color="000000"/>
            </w:tcBorders>
          </w:tcPr>
          <w:p w:rsidR="00F615F0" w:rsidRDefault="00C323D1">
            <w:pPr>
              <w:ind w:left="1"/>
            </w:pPr>
            <w:r>
              <w:rPr>
                <w:rFonts w:eastAsia="Calibri" w:cs="Calibri"/>
              </w:rPr>
              <w:t xml:space="preserve"> For shutters of doors and windows &amp; ventilators including providing and fixing hinges/pivots and making provision for fixing of fittings wherever required including the cost of PVC/neoprene gasket required (Fittings shall be paid for separately.)  </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334"/>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1"/>
              <w:jc w:val="right"/>
            </w:pPr>
            <w:r>
              <w:rPr>
                <w:rFonts w:eastAsia="Calibri" w:cs="Calibri"/>
              </w:rPr>
              <w:t>260.8</w:t>
            </w:r>
          </w:p>
        </w:tc>
        <w:tc>
          <w:tcPr>
            <w:tcW w:w="913" w:type="dxa"/>
            <w:tcBorders>
              <w:top w:val="nil"/>
              <w:left w:val="single" w:sz="2" w:space="0" w:color="000000"/>
              <w:bottom w:val="single" w:sz="2" w:space="0" w:color="000000"/>
              <w:right w:val="single" w:sz="2" w:space="0" w:color="000000"/>
            </w:tcBorders>
          </w:tcPr>
          <w:p w:rsidR="00F615F0" w:rsidRDefault="00C323D1">
            <w:pPr>
              <w:ind w:right="22"/>
              <w:jc w:val="right"/>
            </w:pPr>
            <w:r>
              <w:rPr>
                <w:rFonts w:eastAsia="Calibri" w:cs="Calibri"/>
              </w:rPr>
              <w:t>360.42</w:t>
            </w:r>
          </w:p>
        </w:tc>
        <w:tc>
          <w:tcPr>
            <w:tcW w:w="3066" w:type="dxa"/>
            <w:tcBorders>
              <w:top w:val="nil"/>
              <w:left w:val="single" w:sz="2" w:space="0" w:color="000000"/>
              <w:bottom w:val="single" w:sz="2" w:space="0" w:color="000000"/>
              <w:right w:val="double" w:sz="8" w:space="0" w:color="1A1A1A"/>
            </w:tcBorders>
          </w:tcPr>
          <w:p w:rsidR="00F615F0" w:rsidRDefault="00C323D1">
            <w:pPr>
              <w:ind w:right="21"/>
              <w:jc w:val="right"/>
            </w:pPr>
            <w:r>
              <w:rPr>
                <w:rFonts w:eastAsia="Calibri" w:cs="Calibri"/>
              </w:rPr>
              <w:t>93997.54</w:t>
            </w:r>
          </w:p>
        </w:tc>
      </w:tr>
      <w:tr w:rsidR="00F615F0">
        <w:trPr>
          <w:trHeight w:val="852"/>
        </w:trPr>
        <w:tc>
          <w:tcPr>
            <w:tcW w:w="315" w:type="dxa"/>
            <w:tcBorders>
              <w:top w:val="single" w:sz="2" w:space="0" w:color="000000"/>
              <w:left w:val="double" w:sz="8" w:space="0" w:color="1A1A1A"/>
              <w:bottom w:val="nil"/>
              <w:right w:val="single" w:sz="2" w:space="0" w:color="000000"/>
            </w:tcBorders>
            <w:vAlign w:val="bottom"/>
          </w:tcPr>
          <w:p w:rsidR="00F615F0" w:rsidRDefault="00C323D1">
            <w:pPr>
              <w:jc w:val="center"/>
            </w:pPr>
            <w:r>
              <w:rPr>
                <w:rFonts w:eastAsia="Calibri" w:cs="Calibri"/>
              </w:rPr>
              <w:t>12</w:t>
            </w:r>
          </w:p>
        </w:tc>
        <w:tc>
          <w:tcPr>
            <w:tcW w:w="3749" w:type="dxa"/>
            <w:tcBorders>
              <w:top w:val="single" w:sz="2" w:space="0" w:color="000000"/>
              <w:left w:val="single" w:sz="2" w:space="0" w:color="000000"/>
              <w:bottom w:val="nil"/>
              <w:right w:val="single" w:sz="2" w:space="0" w:color="000000"/>
            </w:tcBorders>
          </w:tcPr>
          <w:p w:rsidR="00F615F0" w:rsidRDefault="00C323D1">
            <w:pPr>
              <w:ind w:left="1"/>
            </w:pPr>
            <w:r>
              <w:rPr>
                <w:rFonts w:eastAsia="Calibri" w:cs="Calibri"/>
              </w:rPr>
              <w:t>Providing and fixing glazing in aluminum doors and windows ventilators (5.5 mm) thick</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2"/>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28"/>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2"/>
              <w:jc w:val="right"/>
            </w:pPr>
            <w:r>
              <w:rPr>
                <w:rFonts w:eastAsia="Calibri" w:cs="Calibri"/>
              </w:rPr>
              <w:t>72.27</w:t>
            </w:r>
          </w:p>
        </w:tc>
        <w:tc>
          <w:tcPr>
            <w:tcW w:w="913" w:type="dxa"/>
            <w:tcBorders>
              <w:top w:val="nil"/>
              <w:left w:val="single" w:sz="2" w:space="0" w:color="000000"/>
              <w:bottom w:val="single" w:sz="2" w:space="0" w:color="000000"/>
              <w:right w:val="single" w:sz="2" w:space="0" w:color="000000"/>
            </w:tcBorders>
          </w:tcPr>
          <w:p w:rsidR="00F615F0" w:rsidRDefault="00C323D1">
            <w:pPr>
              <w:ind w:right="21"/>
              <w:jc w:val="right"/>
            </w:pPr>
            <w:r>
              <w:rPr>
                <w:rFonts w:eastAsia="Calibri" w:cs="Calibri"/>
              </w:rPr>
              <w:t>701.4</w:t>
            </w:r>
          </w:p>
        </w:tc>
        <w:tc>
          <w:tcPr>
            <w:tcW w:w="3066" w:type="dxa"/>
            <w:tcBorders>
              <w:top w:val="nil"/>
              <w:left w:val="single" w:sz="2" w:space="0" w:color="000000"/>
              <w:bottom w:val="single" w:sz="2" w:space="0" w:color="000000"/>
              <w:right w:val="double" w:sz="8" w:space="0" w:color="1A1A1A"/>
            </w:tcBorders>
          </w:tcPr>
          <w:p w:rsidR="00F615F0" w:rsidRDefault="00C323D1">
            <w:pPr>
              <w:ind w:right="21"/>
              <w:jc w:val="right"/>
            </w:pPr>
            <w:r>
              <w:rPr>
                <w:rFonts w:eastAsia="Calibri" w:cs="Calibri"/>
              </w:rPr>
              <w:t>50690.18</w:t>
            </w:r>
          </w:p>
        </w:tc>
      </w:tr>
      <w:tr w:rsidR="00F615F0">
        <w:trPr>
          <w:trHeight w:val="694"/>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t>9.88</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pPr>
              <w:ind w:left="1"/>
            </w:pPr>
            <w:r>
              <w:rPr>
                <w:rFonts w:eastAsia="Calibri" w:cs="Calibri"/>
              </w:rPr>
              <w:t>Supply fixing and finishing Saal Wood work in charkha</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2"/>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2"/>
              <w:jc w:val="right"/>
            </w:pPr>
            <w:r>
              <w:rPr>
                <w:rFonts w:eastAsia="Calibri" w:cs="Calibri"/>
              </w:rPr>
              <w:t>0.17</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left="112"/>
            </w:pPr>
            <w:r>
              <w:rPr>
                <w:rFonts w:eastAsia="Calibri" w:cs="Calibri"/>
              </w:rPr>
              <w:t>62638.1</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1"/>
              <w:jc w:val="right"/>
            </w:pPr>
            <w:r>
              <w:rPr>
                <w:rFonts w:eastAsia="Calibri" w:cs="Calibri"/>
              </w:rPr>
              <w:t>10648.48</w:t>
            </w:r>
          </w:p>
        </w:tc>
      </w:tr>
      <w:tr w:rsidR="00F615F0">
        <w:trPr>
          <w:trHeight w:val="1846"/>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t>9.4</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  Providing and fixing paneled or paneled and glazed shutters for doors, windows and clerestory windows including black enameled M.S. butt hinges with necessary screws excluding. Paneling which will be paid or separately.</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3"/>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4.39</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5"/>
              <w:jc w:val="right"/>
            </w:pPr>
            <w:r>
              <w:rPr>
                <w:rFonts w:eastAsia="Calibri" w:cs="Calibri"/>
              </w:rPr>
              <w:t>2022</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8876.58</w:t>
            </w:r>
          </w:p>
        </w:tc>
      </w:tr>
      <w:tr w:rsidR="00F615F0">
        <w:trPr>
          <w:trHeight w:val="2365"/>
        </w:trPr>
        <w:tc>
          <w:tcPr>
            <w:tcW w:w="315" w:type="dxa"/>
            <w:tcBorders>
              <w:top w:val="single" w:sz="2" w:space="0" w:color="000000"/>
              <w:left w:val="double" w:sz="8" w:space="0" w:color="1A1A1A"/>
              <w:bottom w:val="nil"/>
              <w:right w:val="single" w:sz="2" w:space="0" w:color="000000"/>
            </w:tcBorders>
            <w:vAlign w:val="bottom"/>
          </w:tcPr>
          <w:p w:rsidR="00F615F0" w:rsidRDefault="00C323D1">
            <w:pPr>
              <w:jc w:val="center"/>
            </w:pPr>
            <w:r>
              <w:rPr>
                <w:rFonts w:eastAsia="Calibri" w:cs="Calibri"/>
              </w:rPr>
              <w:t>9.5</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Providing and fixing and fixing paneling or paneling and glazing in paneled of paneled and glazed shutters for doors, windows and clerestory windows (area of opening for panel inserts excluding portion inside grooves or rebates to be measured) paneling for paneled or paneled and glazed shutters 25 mm to 40 mm thick.</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03"/>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92"/>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2.2</w:t>
            </w:r>
          </w:p>
        </w:tc>
        <w:tc>
          <w:tcPr>
            <w:tcW w:w="913" w:type="dxa"/>
            <w:tcBorders>
              <w:top w:val="nil"/>
              <w:left w:val="single" w:sz="2" w:space="0" w:color="000000"/>
              <w:bottom w:val="single" w:sz="2" w:space="0" w:color="000000"/>
              <w:right w:val="single" w:sz="2" w:space="0" w:color="000000"/>
            </w:tcBorders>
          </w:tcPr>
          <w:p w:rsidR="00F615F0" w:rsidRDefault="00C323D1">
            <w:pPr>
              <w:ind w:right="25"/>
              <w:jc w:val="right"/>
            </w:pPr>
            <w:r>
              <w:rPr>
                <w:rFonts w:eastAsia="Calibri" w:cs="Calibri"/>
              </w:rPr>
              <w:t>1836.3</w:t>
            </w:r>
          </w:p>
        </w:tc>
        <w:tc>
          <w:tcPr>
            <w:tcW w:w="3066" w:type="dxa"/>
            <w:tcBorders>
              <w:top w:val="nil"/>
              <w:left w:val="single" w:sz="2" w:space="0" w:color="000000"/>
              <w:bottom w:val="single" w:sz="2" w:space="0" w:color="000000"/>
              <w:right w:val="double" w:sz="8" w:space="0" w:color="1A1A1A"/>
            </w:tcBorders>
          </w:tcPr>
          <w:p w:rsidR="00F615F0" w:rsidRDefault="00C323D1">
            <w:pPr>
              <w:ind w:right="29"/>
              <w:jc w:val="right"/>
            </w:pPr>
            <w:r>
              <w:rPr>
                <w:rFonts w:eastAsia="Calibri" w:cs="Calibri"/>
              </w:rPr>
              <w:t>4039.86</w:t>
            </w:r>
          </w:p>
        </w:tc>
      </w:tr>
      <w:tr w:rsidR="00F615F0">
        <w:trPr>
          <w:trHeight w:val="1284"/>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ind w:left="61"/>
            </w:pPr>
            <w:r>
              <w:rPr>
                <w:rFonts w:eastAsia="Calibri" w:cs="Calibri"/>
              </w:rPr>
              <w:t>13.82.4</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231.65</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7528.63</w:t>
            </w:r>
          </w:p>
        </w:tc>
      </w:tr>
      <w:tr w:rsidR="00F615F0">
        <w:trPr>
          <w:trHeight w:val="1179"/>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61"/>
            </w:pPr>
            <w:r>
              <w:rPr>
                <w:rFonts w:eastAsia="Calibri" w:cs="Calibri"/>
              </w:rPr>
              <w:t>13.81.1</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Applying priming coat: with ready mixed pink or grey primer of approved brand and manufacture on wood work (hard and softwood)</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66"/>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30"/>
              <w:jc w:val="right"/>
            </w:pPr>
            <w:r>
              <w:rPr>
                <w:rFonts w:eastAsia="Calibri" w:cs="Calibri"/>
              </w:rPr>
              <w:t>152.89</w:t>
            </w:r>
          </w:p>
        </w:tc>
        <w:tc>
          <w:tcPr>
            <w:tcW w:w="913"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18.9</w:t>
            </w:r>
          </w:p>
        </w:tc>
        <w:tc>
          <w:tcPr>
            <w:tcW w:w="3066" w:type="dxa"/>
            <w:tcBorders>
              <w:top w:val="nil"/>
              <w:left w:val="single" w:sz="2" w:space="0" w:color="000000"/>
              <w:bottom w:val="single" w:sz="2" w:space="0" w:color="000000"/>
              <w:right w:val="double" w:sz="8" w:space="0" w:color="1A1A1A"/>
            </w:tcBorders>
          </w:tcPr>
          <w:p w:rsidR="00F615F0" w:rsidRDefault="00C323D1">
            <w:pPr>
              <w:ind w:right="29"/>
              <w:jc w:val="right"/>
            </w:pPr>
            <w:r>
              <w:rPr>
                <w:rFonts w:eastAsia="Calibri" w:cs="Calibri"/>
              </w:rPr>
              <w:t>2889.62</w:t>
            </w:r>
          </w:p>
        </w:tc>
      </w:tr>
      <w:tr w:rsidR="00F615F0">
        <w:trPr>
          <w:trHeight w:val="1751"/>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61"/>
            </w:pPr>
            <w:r>
              <w:rPr>
                <w:rFonts w:eastAsia="Calibri" w:cs="Calibri"/>
              </w:rPr>
              <w:lastRenderedPageBreak/>
              <w:t>10.16.1</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Steel work in built up tubular trusses including cutting, hoisting, fixing in position and applying a priming car of approved steel primer, welded and bolted including special shaped washers etc. complete Hot finished welded type tubes</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jc w:val="center"/>
            </w:pPr>
            <w:r>
              <w:rPr>
                <w:rFonts w:eastAsia="Calibri" w:cs="Calibri"/>
              </w:rPr>
              <w:t>kg</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56"/>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16537</w:t>
            </w:r>
          </w:p>
        </w:tc>
        <w:tc>
          <w:tcPr>
            <w:tcW w:w="913"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77.7</w:t>
            </w:r>
          </w:p>
        </w:tc>
        <w:tc>
          <w:tcPr>
            <w:tcW w:w="3066" w:type="dxa"/>
            <w:tcBorders>
              <w:top w:val="nil"/>
              <w:left w:val="single" w:sz="2" w:space="0" w:color="000000"/>
              <w:bottom w:val="single" w:sz="2" w:space="0" w:color="000000"/>
              <w:right w:val="double" w:sz="8" w:space="0" w:color="1A1A1A"/>
            </w:tcBorders>
          </w:tcPr>
          <w:p w:rsidR="00F615F0" w:rsidRDefault="00C323D1">
            <w:pPr>
              <w:ind w:left="142"/>
            </w:pPr>
            <w:r>
              <w:rPr>
                <w:rFonts w:eastAsia="Calibri" w:cs="Calibri"/>
              </w:rPr>
              <w:t>1284924.90</w:t>
            </w:r>
          </w:p>
        </w:tc>
      </w:tr>
      <w:tr w:rsidR="00F615F0">
        <w:trPr>
          <w:trHeight w:val="892"/>
        </w:trPr>
        <w:tc>
          <w:tcPr>
            <w:tcW w:w="315" w:type="dxa"/>
            <w:tcBorders>
              <w:top w:val="single" w:sz="2" w:space="0" w:color="000000"/>
              <w:left w:val="double" w:sz="8" w:space="0" w:color="1A1A1A"/>
              <w:bottom w:val="nil"/>
              <w:right w:val="single" w:sz="2" w:space="0" w:color="000000"/>
            </w:tcBorders>
            <w:vAlign w:val="bottom"/>
          </w:tcPr>
          <w:p w:rsidR="00F615F0" w:rsidRDefault="00C323D1">
            <w:pPr>
              <w:ind w:left="61"/>
            </w:pPr>
            <w:r>
              <w:rPr>
                <w:rFonts w:eastAsia="Calibri" w:cs="Calibri"/>
              </w:rPr>
              <w:t>13.81.3</w:t>
            </w:r>
          </w:p>
        </w:tc>
        <w:tc>
          <w:tcPr>
            <w:tcW w:w="3749" w:type="dxa"/>
            <w:tcBorders>
              <w:top w:val="single" w:sz="2" w:space="0" w:color="000000"/>
              <w:left w:val="single" w:sz="2" w:space="0" w:color="000000"/>
              <w:bottom w:val="nil"/>
              <w:right w:val="single" w:sz="2" w:space="0" w:color="000000"/>
            </w:tcBorders>
          </w:tcPr>
          <w:p w:rsidR="00F615F0" w:rsidRDefault="00C323D1">
            <w:r>
              <w:rPr>
                <w:rFonts w:eastAsia="Calibri" w:cs="Calibri"/>
              </w:rPr>
              <w:t>Applying priming coat: With ready mixed zinc chromate yellow primer of approved brand and manufacture on steel work (second coat)</w:t>
            </w:r>
          </w:p>
        </w:tc>
        <w:tc>
          <w:tcPr>
            <w:tcW w:w="641" w:type="dxa"/>
            <w:tcBorders>
              <w:top w:val="single" w:sz="2" w:space="0" w:color="000000"/>
              <w:left w:val="single" w:sz="2" w:space="0" w:color="000000"/>
              <w:bottom w:val="nil"/>
              <w:right w:val="single" w:sz="2" w:space="0" w:color="000000"/>
            </w:tcBorders>
            <w:vAlign w:val="bottom"/>
          </w:tcPr>
          <w:p w:rsidR="00F615F0" w:rsidRDefault="00C323D1">
            <w:pPr>
              <w:ind w:left="110"/>
            </w:pPr>
            <w:r>
              <w:rPr>
                <w:rFonts w:eastAsia="Calibri" w:cs="Calibri"/>
              </w:rPr>
              <w:t>sqm</w:t>
            </w:r>
          </w:p>
        </w:tc>
        <w:tc>
          <w:tcPr>
            <w:tcW w:w="1117" w:type="dxa"/>
            <w:tcBorders>
              <w:top w:val="single" w:sz="2" w:space="0" w:color="000000"/>
              <w:left w:val="single" w:sz="2" w:space="0" w:color="000000"/>
              <w:bottom w:val="nil"/>
              <w:right w:val="single" w:sz="2" w:space="0" w:color="000000"/>
            </w:tcBorders>
          </w:tcPr>
          <w:p w:rsidR="00F615F0" w:rsidRDefault="00F615F0"/>
        </w:tc>
        <w:tc>
          <w:tcPr>
            <w:tcW w:w="913" w:type="dxa"/>
            <w:tcBorders>
              <w:top w:val="single" w:sz="2" w:space="0" w:color="000000"/>
              <w:left w:val="single" w:sz="2" w:space="0" w:color="000000"/>
              <w:bottom w:val="nil"/>
              <w:right w:val="single" w:sz="2" w:space="0" w:color="000000"/>
            </w:tcBorders>
          </w:tcPr>
          <w:p w:rsidR="00F615F0" w:rsidRDefault="00F615F0"/>
        </w:tc>
        <w:tc>
          <w:tcPr>
            <w:tcW w:w="3066" w:type="dxa"/>
            <w:tcBorders>
              <w:top w:val="single" w:sz="2" w:space="0" w:color="000000"/>
              <w:left w:val="single" w:sz="2" w:space="0" w:color="000000"/>
              <w:bottom w:val="nil"/>
              <w:right w:val="double" w:sz="8" w:space="0" w:color="1A1A1A"/>
            </w:tcBorders>
          </w:tcPr>
          <w:p w:rsidR="00F615F0" w:rsidRDefault="00F615F0"/>
        </w:tc>
      </w:tr>
      <w:tr w:rsidR="00F615F0">
        <w:trPr>
          <w:trHeight w:val="269"/>
        </w:trPr>
        <w:tc>
          <w:tcPr>
            <w:tcW w:w="315" w:type="dxa"/>
            <w:tcBorders>
              <w:top w:val="nil"/>
              <w:left w:val="double" w:sz="8" w:space="0" w:color="1A1A1A"/>
              <w:bottom w:val="single" w:sz="2" w:space="0" w:color="000000"/>
              <w:right w:val="single" w:sz="2" w:space="0" w:color="000000"/>
            </w:tcBorders>
          </w:tcPr>
          <w:p w:rsidR="00F615F0" w:rsidRDefault="00F615F0"/>
        </w:tc>
        <w:tc>
          <w:tcPr>
            <w:tcW w:w="3749" w:type="dxa"/>
            <w:tcBorders>
              <w:top w:val="nil"/>
              <w:left w:val="single" w:sz="2" w:space="0" w:color="000000"/>
              <w:bottom w:val="single" w:sz="2" w:space="0" w:color="000000"/>
              <w:right w:val="single" w:sz="2" w:space="0" w:color="000000"/>
            </w:tcBorders>
          </w:tcPr>
          <w:p w:rsidR="00F615F0" w:rsidRDefault="00F615F0"/>
        </w:tc>
        <w:tc>
          <w:tcPr>
            <w:tcW w:w="641" w:type="dxa"/>
            <w:tcBorders>
              <w:top w:val="nil"/>
              <w:left w:val="single" w:sz="2" w:space="0" w:color="000000"/>
              <w:bottom w:val="single" w:sz="2" w:space="0" w:color="000000"/>
              <w:right w:val="single" w:sz="2" w:space="0" w:color="000000"/>
            </w:tcBorders>
          </w:tcPr>
          <w:p w:rsidR="00F615F0" w:rsidRDefault="00F615F0"/>
        </w:tc>
        <w:tc>
          <w:tcPr>
            <w:tcW w:w="1117"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1150</w:t>
            </w:r>
          </w:p>
        </w:tc>
        <w:tc>
          <w:tcPr>
            <w:tcW w:w="913" w:type="dxa"/>
            <w:tcBorders>
              <w:top w:val="nil"/>
              <w:left w:val="single" w:sz="2" w:space="0" w:color="000000"/>
              <w:bottom w:val="single" w:sz="2" w:space="0" w:color="000000"/>
              <w:right w:val="single" w:sz="2" w:space="0" w:color="000000"/>
            </w:tcBorders>
          </w:tcPr>
          <w:p w:rsidR="00F615F0" w:rsidRDefault="00C323D1">
            <w:pPr>
              <w:ind w:right="29"/>
              <w:jc w:val="right"/>
            </w:pPr>
            <w:r>
              <w:rPr>
                <w:rFonts w:eastAsia="Calibri" w:cs="Calibri"/>
              </w:rPr>
              <w:t>8.4</w:t>
            </w:r>
          </w:p>
        </w:tc>
        <w:tc>
          <w:tcPr>
            <w:tcW w:w="3066" w:type="dxa"/>
            <w:tcBorders>
              <w:top w:val="nil"/>
              <w:left w:val="single" w:sz="2" w:space="0" w:color="000000"/>
              <w:bottom w:val="single" w:sz="2" w:space="0" w:color="000000"/>
              <w:right w:val="double" w:sz="8" w:space="0" w:color="1A1A1A"/>
            </w:tcBorders>
          </w:tcPr>
          <w:p w:rsidR="00F615F0" w:rsidRDefault="00C323D1">
            <w:pPr>
              <w:ind w:right="29"/>
              <w:jc w:val="right"/>
            </w:pPr>
            <w:r>
              <w:rPr>
                <w:rFonts w:eastAsia="Calibri" w:cs="Calibri"/>
              </w:rPr>
              <w:t>9660.00</w:t>
            </w:r>
          </w:p>
        </w:tc>
      </w:tr>
      <w:tr w:rsidR="00F615F0">
        <w:trPr>
          <w:trHeight w:val="1162"/>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ind w:left="61"/>
            </w:pPr>
            <w:r>
              <w:rPr>
                <w:rFonts w:eastAsia="Calibri" w:cs="Calibri"/>
              </w:rPr>
              <w:t>13.82.1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Painting with ready mixed paint of approved brand and manufacture in all shades to give an even shade: Old wood work (one more coats)</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10"/>
            </w:pPr>
            <w:r>
              <w:rPr>
                <w:rFonts w:eastAsia="Calibri" w:cs="Calibri"/>
              </w:rPr>
              <w:t>sqm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1150</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32.5</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30"/>
              <w:jc w:val="right"/>
            </w:pPr>
            <w:r>
              <w:rPr>
                <w:rFonts w:eastAsia="Calibri" w:cs="Calibri"/>
              </w:rPr>
              <w:t>37375.00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vAlign w:val="center"/>
          </w:tcPr>
          <w:p w:rsidR="00F615F0" w:rsidRDefault="00C323D1">
            <w:pPr>
              <w:jc w:val="center"/>
            </w:pPr>
            <w:r>
              <w:rPr>
                <w:rFonts w:eastAsia="Calibri" w:cs="Calibri"/>
              </w:rPr>
              <w:t>21</w:t>
            </w:r>
          </w:p>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(A) Cost of window A.C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2</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20000</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40000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(B) Exhaust fan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7</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2000</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14000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(C) Celling Fan</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14</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1500</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21000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Carriage of materials</w:t>
            </w:r>
          </w:p>
        </w:tc>
        <w:tc>
          <w:tcPr>
            <w:tcW w:w="641" w:type="dxa"/>
            <w:tcBorders>
              <w:top w:val="single" w:sz="2" w:space="0" w:color="000000"/>
              <w:left w:val="single" w:sz="2" w:space="0" w:color="000000"/>
              <w:bottom w:val="single" w:sz="2" w:space="0" w:color="000000"/>
              <w:right w:val="single" w:sz="2" w:space="0" w:color="000000"/>
            </w:tcBorders>
          </w:tcPr>
          <w:p w:rsidR="00F615F0" w:rsidRDefault="00F615F0"/>
        </w:tc>
        <w:tc>
          <w:tcPr>
            <w:tcW w:w="1117" w:type="dxa"/>
            <w:tcBorders>
              <w:top w:val="single" w:sz="2" w:space="0" w:color="000000"/>
              <w:left w:val="single" w:sz="2" w:space="0" w:color="000000"/>
              <w:bottom w:val="single" w:sz="2" w:space="0" w:color="000000"/>
              <w:right w:val="single" w:sz="2" w:space="0" w:color="000000"/>
            </w:tcBorders>
          </w:tcPr>
          <w:p w:rsidR="00F615F0" w:rsidRDefault="00F615F0"/>
        </w:tc>
        <w:tc>
          <w:tcPr>
            <w:tcW w:w="913" w:type="dxa"/>
            <w:tcBorders>
              <w:top w:val="single" w:sz="2" w:space="0" w:color="000000"/>
              <w:left w:val="single" w:sz="2" w:space="0" w:color="000000"/>
              <w:bottom w:val="single" w:sz="2" w:space="0" w:color="000000"/>
              <w:right w:val="single" w:sz="2" w:space="0" w:color="000000"/>
            </w:tcBorders>
          </w:tcPr>
          <w:p w:rsidR="00F615F0" w:rsidRDefault="00F615F0"/>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0</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(A) Cement </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37"/>
            </w:pPr>
            <w:r>
              <w:rPr>
                <w:rFonts w:eastAsia="Calibri" w:cs="Calibri"/>
              </w:rPr>
              <w:t>Bag</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50</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8.55</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427.5</w:t>
            </w:r>
          </w:p>
        </w:tc>
      </w:tr>
      <w:tr w:rsidR="00F615F0">
        <w:trPr>
          <w:trHeight w:val="483"/>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(B)  Coarse Sand</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08"/>
            </w:pPr>
            <w:r>
              <w:rPr>
                <w:rFonts w:eastAsia="Calibri" w:cs="Calibri"/>
              </w:rPr>
              <w:t>cum</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8.11</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503</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4079.33</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(C) Bricks</w:t>
            </w:r>
          </w:p>
        </w:tc>
        <w:tc>
          <w:tcPr>
            <w:tcW w:w="641" w:type="dxa"/>
            <w:tcBorders>
              <w:top w:val="single" w:sz="2" w:space="0" w:color="000000"/>
              <w:left w:val="single" w:sz="2" w:space="0" w:color="000000"/>
              <w:bottom w:val="single" w:sz="2" w:space="0" w:color="000000"/>
              <w:right w:val="single" w:sz="2" w:space="0" w:color="000000"/>
            </w:tcBorders>
            <w:vAlign w:val="center"/>
          </w:tcPr>
          <w:p w:rsidR="00F615F0" w:rsidRDefault="00C323D1">
            <w:pPr>
              <w:ind w:left="144"/>
            </w:pPr>
            <w:r>
              <w:rPr>
                <w:rFonts w:eastAsia="Calibri" w:cs="Calibri"/>
              </w:rPr>
              <w:t>No.</w:t>
            </w:r>
          </w:p>
        </w:tc>
        <w:tc>
          <w:tcPr>
            <w:tcW w:w="1117"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29"/>
              <w:jc w:val="right"/>
            </w:pPr>
            <w:r>
              <w:rPr>
                <w:rFonts w:eastAsia="Calibri" w:cs="Calibri"/>
              </w:rPr>
              <w:t>3507</w:t>
            </w:r>
          </w:p>
        </w:tc>
        <w:tc>
          <w:tcPr>
            <w:tcW w:w="913" w:type="dxa"/>
            <w:tcBorders>
              <w:top w:val="single" w:sz="2" w:space="0" w:color="000000"/>
              <w:left w:val="single" w:sz="2" w:space="0" w:color="000000"/>
              <w:bottom w:val="single" w:sz="2" w:space="0" w:color="000000"/>
              <w:right w:val="single" w:sz="2" w:space="0" w:color="000000"/>
            </w:tcBorders>
            <w:vAlign w:val="bottom"/>
          </w:tcPr>
          <w:p w:rsidR="00F615F0" w:rsidRDefault="00C323D1">
            <w:pPr>
              <w:ind w:right="30"/>
              <w:jc w:val="right"/>
            </w:pPr>
            <w:r>
              <w:rPr>
                <w:rFonts w:eastAsia="Calibri" w:cs="Calibri"/>
              </w:rPr>
              <w:t>0.39</w:t>
            </w:r>
          </w:p>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9"/>
              <w:jc w:val="right"/>
            </w:pPr>
            <w:r>
              <w:rPr>
                <w:rFonts w:eastAsia="Calibri" w:cs="Calibri"/>
              </w:rPr>
              <w:t>1367.73</w:t>
            </w:r>
          </w:p>
        </w:tc>
      </w:tr>
      <w:tr w:rsidR="00F615F0">
        <w:trPr>
          <w:trHeight w:val="482"/>
        </w:trPr>
        <w:tc>
          <w:tcPr>
            <w:tcW w:w="315" w:type="dxa"/>
            <w:tcBorders>
              <w:top w:val="single" w:sz="2" w:space="0" w:color="000000"/>
              <w:left w:val="double" w:sz="8" w:space="0" w:color="1A1A1A"/>
              <w:bottom w:val="single" w:sz="2" w:space="0" w:color="000000"/>
              <w:right w:val="single" w:sz="2" w:space="0" w:color="000000"/>
            </w:tcBorders>
          </w:tcPr>
          <w:p w:rsidR="00F615F0" w:rsidRDefault="00F615F0"/>
        </w:tc>
        <w:tc>
          <w:tcPr>
            <w:tcW w:w="3749" w:type="dxa"/>
            <w:tcBorders>
              <w:top w:val="single" w:sz="2" w:space="0" w:color="000000"/>
              <w:left w:val="single" w:sz="2" w:space="0" w:color="000000"/>
              <w:bottom w:val="single" w:sz="2" w:space="0" w:color="000000"/>
              <w:right w:val="single" w:sz="2" w:space="0" w:color="000000"/>
            </w:tcBorders>
          </w:tcPr>
          <w:p w:rsidR="00F615F0" w:rsidRDefault="00C323D1">
            <w:r>
              <w:rPr>
                <w:rFonts w:eastAsia="Calibri" w:cs="Calibri"/>
              </w:rPr>
              <w:t xml:space="preserve">Extra cost of material </w:t>
            </w:r>
          </w:p>
        </w:tc>
        <w:tc>
          <w:tcPr>
            <w:tcW w:w="641" w:type="dxa"/>
            <w:tcBorders>
              <w:top w:val="single" w:sz="2" w:space="0" w:color="000000"/>
              <w:left w:val="single" w:sz="2" w:space="0" w:color="000000"/>
              <w:bottom w:val="single" w:sz="2" w:space="0" w:color="000000"/>
              <w:right w:val="single" w:sz="2" w:space="0" w:color="000000"/>
            </w:tcBorders>
          </w:tcPr>
          <w:p w:rsidR="00F615F0" w:rsidRDefault="00F615F0"/>
        </w:tc>
        <w:tc>
          <w:tcPr>
            <w:tcW w:w="1117" w:type="dxa"/>
            <w:tcBorders>
              <w:top w:val="single" w:sz="2" w:space="0" w:color="000000"/>
              <w:left w:val="single" w:sz="2" w:space="0" w:color="000000"/>
              <w:bottom w:val="single" w:sz="2" w:space="0" w:color="000000"/>
              <w:right w:val="single" w:sz="2" w:space="0" w:color="000000"/>
            </w:tcBorders>
          </w:tcPr>
          <w:p w:rsidR="00F615F0" w:rsidRDefault="00F615F0"/>
        </w:tc>
        <w:tc>
          <w:tcPr>
            <w:tcW w:w="913" w:type="dxa"/>
            <w:tcBorders>
              <w:top w:val="single" w:sz="2" w:space="0" w:color="000000"/>
              <w:left w:val="single" w:sz="2" w:space="0" w:color="000000"/>
              <w:bottom w:val="single" w:sz="2" w:space="0" w:color="000000"/>
              <w:right w:val="single" w:sz="2" w:space="0" w:color="000000"/>
            </w:tcBorders>
          </w:tcPr>
          <w:p w:rsidR="00F615F0" w:rsidRDefault="00F615F0"/>
        </w:tc>
        <w:tc>
          <w:tcPr>
            <w:tcW w:w="3066" w:type="dxa"/>
            <w:tcBorders>
              <w:top w:val="single" w:sz="2" w:space="0" w:color="000000"/>
              <w:left w:val="single" w:sz="2" w:space="0" w:color="000000"/>
              <w:bottom w:val="single" w:sz="2" w:space="0" w:color="000000"/>
              <w:right w:val="double" w:sz="8" w:space="0" w:color="1A1A1A"/>
            </w:tcBorders>
            <w:vAlign w:val="bottom"/>
          </w:tcPr>
          <w:p w:rsidR="00F615F0" w:rsidRDefault="00C323D1">
            <w:pPr>
              <w:ind w:right="28"/>
              <w:jc w:val="right"/>
            </w:pPr>
            <w:r>
              <w:rPr>
                <w:rFonts w:eastAsia="Calibri" w:cs="Calibri"/>
              </w:rPr>
              <w:t>0</w:t>
            </w:r>
          </w:p>
        </w:tc>
      </w:tr>
    </w:tbl>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5" w:line="240" w:lineRule="auto"/>
        <w:rPr>
          <w:rFonts w:ascii="Arial" w:eastAsia="Arial" w:hAnsi="Arial" w:cs="Arial"/>
          <w:b/>
          <w:color w:val="000000"/>
          <w:sz w:val="20"/>
        </w:rPr>
      </w:pPr>
    </w:p>
    <w:p w:rsidR="00F615F0" w:rsidRDefault="00F615F0">
      <w:pPr>
        <w:spacing w:after="97" w:line="240" w:lineRule="auto"/>
        <w:rPr>
          <w:rFonts w:ascii="Arial" w:eastAsia="Arial" w:hAnsi="Arial" w:cs="Arial"/>
          <w:b/>
          <w:color w:val="000000"/>
          <w:sz w:val="20"/>
        </w:rPr>
      </w:pPr>
    </w:p>
    <w:p w:rsidR="00F615F0" w:rsidRDefault="00C323D1">
      <w:pPr>
        <w:spacing w:after="97" w:line="240" w:lineRule="auto"/>
        <w:rPr>
          <w:rFonts w:ascii="Arial" w:eastAsia="Arial" w:hAnsi="Arial" w:cs="Arial"/>
          <w:b/>
          <w:color w:val="000000"/>
          <w:sz w:val="20"/>
          <w:u w:val="single"/>
        </w:rPr>
      </w:pPr>
      <w:r>
        <w:rPr>
          <w:rFonts w:ascii="Arial" w:eastAsia="Arial" w:hAnsi="Arial" w:cs="Arial"/>
          <w:b/>
          <w:color w:val="000000"/>
          <w:sz w:val="20"/>
          <w:u w:val="single"/>
        </w:rPr>
        <w:lastRenderedPageBreak/>
        <w:t>THEORY ANSWERS</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 xml:space="preserve">BEME: Bill of Engineering Measurement and Evaluation (BEME) also referred to as “Bill”; is a tool used before, during and post-construction to assess and value the cost of construction works. This includes the cost of materials, labor, equipment, and any/all other resource(s) required for the success of any construction endeavor based on a pre-determined scope and determination. </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 xml:space="preserve">DEFECT LIABILITY PERIOD: The defects liability period (or ‘DLP’) is a fixed period of time, starting from the date of practical completion, during which the contractor has an express contractual right to return to the site to rectify defects </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LEAD CONSULTANT:</w:t>
      </w:r>
      <w:r>
        <w:t xml:space="preserve"> </w:t>
      </w:r>
      <w:r>
        <w:rPr>
          <w:rFonts w:ascii="Arial" w:eastAsia="Arial" w:hAnsi="Arial" w:cs="Arial"/>
          <w:color w:val="000000"/>
          <w:sz w:val="20"/>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PROJECT LIFE CYCLE: A project life cycle is the sequence of phases that a project goes through from its initiation to its closure.</w:t>
      </w:r>
    </w:p>
    <w:p w:rsidR="00F615F0" w:rsidRDefault="00F615F0">
      <w:pPr>
        <w:spacing w:after="97" w:line="240" w:lineRule="auto"/>
        <w:rPr>
          <w:rFonts w:ascii="Arial" w:eastAsia="Arial" w:hAnsi="Arial" w:cs="Arial"/>
          <w:color w:val="000000"/>
          <w:sz w:val="20"/>
        </w:rPr>
      </w:pPr>
    </w:p>
    <w:p w:rsidR="00F615F0" w:rsidRDefault="00C323D1">
      <w:pPr>
        <w:pStyle w:val="ListParagraph"/>
        <w:numPr>
          <w:ilvl w:val="0"/>
          <w:numId w:val="31"/>
        </w:numPr>
        <w:spacing w:after="97" w:line="240" w:lineRule="auto"/>
        <w:rPr>
          <w:rFonts w:ascii="Arial" w:eastAsia="Arial" w:hAnsi="Arial" w:cs="Arial"/>
          <w:color w:val="000000"/>
          <w:sz w:val="20"/>
        </w:rPr>
      </w:pPr>
      <w:r>
        <w:rPr>
          <w:rFonts w:ascii="Arial" w:eastAsia="Arial" w:hAnsi="Arial" w:cs="Arial"/>
          <w:color w:val="000000"/>
          <w:sz w:val="20"/>
        </w:rPr>
        <w:t>ENVIRONMENTAL IMPACT ASSESSMENT: Environmental assessment is the assessment of the environmental consequences of a plan, policy, program, or actual projects prior to the decision to move forward with the proposed action.</w:t>
      </w:r>
    </w:p>
    <w:p w:rsidR="00F615F0" w:rsidRDefault="00F615F0">
      <w:pPr>
        <w:spacing w:after="97" w:line="240" w:lineRule="auto"/>
        <w:rPr>
          <w:rFonts w:ascii="Arial" w:eastAsia="Arial" w:hAnsi="Arial" w:cs="Arial"/>
          <w:color w:val="000000"/>
          <w:sz w:val="20"/>
        </w:rPr>
      </w:pPr>
    </w:p>
    <w:p w:rsidR="00F615F0" w:rsidRDefault="00C323D1">
      <w:pPr>
        <w:spacing w:after="134" w:line="240" w:lineRule="auto"/>
        <w:rPr>
          <w:rFonts w:ascii="Arial" w:eastAsia="Arial" w:hAnsi="Arial" w:cs="Arial"/>
          <w:color w:val="000000"/>
          <w:sz w:val="20"/>
        </w:rPr>
      </w:pPr>
      <w:r>
        <w:rPr>
          <w:rFonts w:ascii="Arial" w:eastAsia="Arial" w:hAnsi="Arial" w:cs="Arial"/>
          <w:color w:val="000000"/>
        </w:rPr>
        <w:t xml:space="preserve"> </w:t>
      </w:r>
    </w:p>
    <w:p w:rsidR="00F615F0" w:rsidRDefault="00F615F0">
      <w:pPr>
        <w:rPr>
          <w:rFonts w:ascii="Arial" w:hAnsi="Arial" w:cs="Arial"/>
          <w:b/>
          <w:sz w:val="24"/>
          <w:szCs w:val="24"/>
        </w:rPr>
      </w:pPr>
    </w:p>
    <w:sectPr w:rsidR="00F615F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63" w:rsidRDefault="00B71E63">
      <w:pPr>
        <w:spacing w:after="0" w:line="240" w:lineRule="auto"/>
      </w:pPr>
      <w:r>
        <w:separator/>
      </w:r>
    </w:p>
  </w:endnote>
  <w:endnote w:type="continuationSeparator" w:id="0">
    <w:p w:rsidR="00B71E63" w:rsidRDefault="00B7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63" w:rsidRDefault="00B71E63">
      <w:pPr>
        <w:spacing w:after="0" w:line="240" w:lineRule="auto"/>
      </w:pPr>
      <w:r>
        <w:separator/>
      </w:r>
    </w:p>
  </w:footnote>
  <w:footnote w:type="continuationSeparator" w:id="0">
    <w:p w:rsidR="00B71E63" w:rsidRDefault="00B7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F0" w:rsidRDefault="00F615F0">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FC4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2CDA0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6764000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4" w15:restartNumberingAfterBreak="0">
    <w:nsid w:val="00000005"/>
    <w:multiLevelType w:val="multilevel"/>
    <w:tmpl w:val="F4DAFC4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C958B4A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hybridMultilevel"/>
    <w:tmpl w:val="8166A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FF03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6DC6A280"/>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decimal"/>
      <w:lvlText w:val="%4"/>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9" w15:restartNumberingAfterBreak="0">
    <w:nsid w:val="0000000A"/>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0" w15:restartNumberingAfterBreak="0">
    <w:nsid w:val="0000000B"/>
    <w:multiLevelType w:val="hybridMultilevel"/>
    <w:tmpl w:val="541C47C4"/>
    <w:lvl w:ilvl="0" w:tplc="BC5E0478">
      <w:start w:val="1"/>
      <w:numFmt w:val="decimal"/>
      <w:lvlText w:val="%1"/>
      <w:lvlJc w:val="left"/>
      <w:pPr>
        <w:ind w:left="360" w:firstLine="0"/>
      </w:pPr>
      <w:rPr>
        <w:rFonts w:ascii="Arial" w:eastAsia="Arial" w:hAnsi="Arial" w:cs="Arial"/>
        <w:b w:val="0"/>
        <w:i w:val="0"/>
        <w:color w:val="000000"/>
        <w:sz w:val="20"/>
        <w:u w:val="none" w:color="000000"/>
        <w:effect w:val="none"/>
        <w:bdr w:val="none" w:sz="0" w:space="0" w:color="auto" w:frame="1"/>
        <w:vertAlign w:val="baseline"/>
      </w:rPr>
    </w:lvl>
    <w:lvl w:ilvl="1" w:tplc="D970571A">
      <w:start w:val="1"/>
      <w:numFmt w:val="lowerLetter"/>
      <w:lvlText w:val="%2"/>
      <w:lvlJc w:val="left"/>
      <w:pPr>
        <w:ind w:left="540" w:firstLine="0"/>
      </w:pPr>
      <w:rPr>
        <w:rFonts w:ascii="Arial" w:eastAsia="Arial" w:hAnsi="Arial" w:cs="Arial"/>
        <w:b w:val="0"/>
        <w:i w:val="0"/>
        <w:color w:val="000000"/>
        <w:sz w:val="20"/>
        <w:u w:val="none" w:color="000000"/>
        <w:effect w:val="none"/>
        <w:bdr w:val="none" w:sz="0" w:space="0" w:color="auto" w:frame="1"/>
        <w:vertAlign w:val="baseline"/>
      </w:rPr>
    </w:lvl>
    <w:lvl w:ilvl="2" w:tplc="F1608D8A">
      <w:start w:val="1"/>
      <w:numFmt w:val="lowerRoman"/>
      <w:lvlText w:val="%3"/>
      <w:lvlJc w:val="left"/>
      <w:pPr>
        <w:ind w:left="720" w:firstLine="0"/>
      </w:pPr>
      <w:rPr>
        <w:rFonts w:ascii="Arial" w:eastAsia="Arial" w:hAnsi="Arial" w:cs="Arial"/>
        <w:b w:val="0"/>
        <w:i w:val="0"/>
        <w:color w:val="000000"/>
        <w:sz w:val="20"/>
        <w:u w:val="none" w:color="000000"/>
        <w:effect w:val="none"/>
        <w:bdr w:val="none" w:sz="0" w:space="0" w:color="auto" w:frame="1"/>
        <w:vertAlign w:val="baseline"/>
      </w:rPr>
    </w:lvl>
    <w:lvl w:ilvl="3" w:tplc="8012B318">
      <w:start w:val="1"/>
      <w:numFmt w:val="decimal"/>
      <w:lvlText w:val="%4"/>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4" w:tplc="18A84168">
      <w:start w:val="1"/>
      <w:numFmt w:val="lowerLetter"/>
      <w:lvlText w:val="%5)"/>
      <w:lvlJc w:val="left"/>
      <w:pPr>
        <w:ind w:left="1440" w:firstLine="0"/>
      </w:pPr>
      <w:rPr>
        <w:rFonts w:ascii="Arial" w:eastAsia="Arial" w:hAnsi="Arial" w:cs="Arial"/>
        <w:b w:val="0"/>
        <w:i w:val="0"/>
        <w:color w:val="000000"/>
        <w:sz w:val="20"/>
        <w:u w:val="none" w:color="000000"/>
        <w:effect w:val="none"/>
        <w:bdr w:val="none" w:sz="0" w:space="0" w:color="auto" w:frame="1"/>
        <w:vertAlign w:val="baseline"/>
      </w:rPr>
    </w:lvl>
    <w:lvl w:ilvl="5" w:tplc="BE2E673C">
      <w:start w:val="1"/>
      <w:numFmt w:val="lowerRoman"/>
      <w:lvlText w:val="%6"/>
      <w:lvlJc w:val="left"/>
      <w:pPr>
        <w:ind w:left="2160" w:firstLine="0"/>
      </w:pPr>
      <w:rPr>
        <w:rFonts w:ascii="Arial" w:eastAsia="Arial" w:hAnsi="Arial" w:cs="Arial"/>
        <w:b w:val="0"/>
        <w:i w:val="0"/>
        <w:color w:val="000000"/>
        <w:sz w:val="20"/>
        <w:u w:val="none" w:color="000000"/>
        <w:effect w:val="none"/>
        <w:bdr w:val="none" w:sz="0" w:space="0" w:color="auto" w:frame="1"/>
        <w:vertAlign w:val="baseline"/>
      </w:rPr>
    </w:lvl>
    <w:lvl w:ilvl="6" w:tplc="CDD4C574">
      <w:start w:val="1"/>
      <w:numFmt w:val="decimal"/>
      <w:lvlText w:val="%7"/>
      <w:lvlJc w:val="left"/>
      <w:pPr>
        <w:ind w:left="2880" w:firstLine="0"/>
      </w:pPr>
      <w:rPr>
        <w:rFonts w:ascii="Arial" w:eastAsia="Arial" w:hAnsi="Arial" w:cs="Arial"/>
        <w:b w:val="0"/>
        <w:i w:val="0"/>
        <w:color w:val="000000"/>
        <w:sz w:val="20"/>
        <w:u w:val="none" w:color="000000"/>
        <w:effect w:val="none"/>
        <w:bdr w:val="none" w:sz="0" w:space="0" w:color="auto" w:frame="1"/>
        <w:vertAlign w:val="baseline"/>
      </w:rPr>
    </w:lvl>
    <w:lvl w:ilvl="7" w:tplc="9AB80F2C">
      <w:start w:val="1"/>
      <w:numFmt w:val="lowerLetter"/>
      <w:lvlText w:val="%8"/>
      <w:lvlJc w:val="left"/>
      <w:pPr>
        <w:ind w:left="3600" w:firstLine="0"/>
      </w:pPr>
      <w:rPr>
        <w:rFonts w:ascii="Arial" w:eastAsia="Arial" w:hAnsi="Arial" w:cs="Arial"/>
        <w:b w:val="0"/>
        <w:i w:val="0"/>
        <w:color w:val="000000"/>
        <w:sz w:val="20"/>
        <w:u w:val="none" w:color="000000"/>
        <w:effect w:val="none"/>
        <w:bdr w:val="none" w:sz="0" w:space="0" w:color="auto" w:frame="1"/>
        <w:vertAlign w:val="baseline"/>
      </w:rPr>
    </w:lvl>
    <w:lvl w:ilvl="8" w:tplc="4B880080">
      <w:start w:val="1"/>
      <w:numFmt w:val="lowerRoman"/>
      <w:lvlText w:val="%9"/>
      <w:lvlJc w:val="left"/>
      <w:pPr>
        <w:ind w:left="4320"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1" w15:restartNumberingAfterBreak="0">
    <w:nsid w:val="0000000C"/>
    <w:multiLevelType w:val="multilevel"/>
    <w:tmpl w:val="B67C34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hybridMultilevel"/>
    <w:tmpl w:val="E65AA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4" w15:restartNumberingAfterBreak="0">
    <w:nsid w:val="0000000F"/>
    <w:multiLevelType w:val="hybridMultilevel"/>
    <w:tmpl w:val="6D84F196"/>
    <w:lvl w:ilvl="0" w:tplc="C9AA31C2">
      <w:start w:val="1"/>
      <w:numFmt w:val="bullet"/>
      <w:lvlText w:val="•"/>
      <w:lvlJc w:val="left"/>
      <w:pPr>
        <w:ind w:left="360" w:firstLine="0"/>
      </w:pPr>
      <w:rPr>
        <w:rFonts w:ascii="Calibri" w:eastAsia="Calibri" w:hAnsi="Calibri" w:cs="Calibri"/>
        <w:b w:val="0"/>
        <w:i w:val="0"/>
        <w:color w:val="000000"/>
        <w:sz w:val="20"/>
        <w:u w:val="none" w:color="000000"/>
        <w:effect w:val="none"/>
        <w:bdr w:val="none" w:sz="0" w:space="0" w:color="auto" w:frame="1"/>
        <w:vertAlign w:val="baseline"/>
      </w:rPr>
    </w:lvl>
    <w:lvl w:ilvl="1" w:tplc="66CC137A">
      <w:start w:val="1"/>
      <w:numFmt w:val="bullet"/>
      <w:lvlText w:val="o"/>
      <w:lvlJc w:val="left"/>
      <w:pPr>
        <w:ind w:left="534" w:firstLine="0"/>
      </w:pPr>
      <w:rPr>
        <w:rFonts w:ascii="Calibri" w:eastAsia="Calibri" w:hAnsi="Calibri" w:cs="Calibri"/>
        <w:b w:val="0"/>
        <w:i w:val="0"/>
        <w:color w:val="000000"/>
        <w:sz w:val="20"/>
        <w:u w:val="none" w:color="000000"/>
        <w:effect w:val="none"/>
        <w:bdr w:val="none" w:sz="0" w:space="0" w:color="auto" w:frame="1"/>
        <w:vertAlign w:val="baseline"/>
      </w:rPr>
    </w:lvl>
    <w:lvl w:ilvl="2" w:tplc="AB683A26">
      <w:start w:val="1"/>
      <w:numFmt w:val="bullet"/>
      <w:lvlText w:val="-"/>
      <w:lvlJc w:val="left"/>
      <w:pPr>
        <w:ind w:left="708" w:firstLine="0"/>
      </w:pPr>
      <w:rPr>
        <w:rFonts w:ascii="Calibri" w:eastAsia="Calibri" w:hAnsi="Calibri" w:cs="Calibri"/>
        <w:b w:val="0"/>
        <w:i w:val="0"/>
        <w:color w:val="000000"/>
        <w:sz w:val="20"/>
        <w:u w:val="none" w:color="000000"/>
        <w:effect w:val="none"/>
        <w:bdr w:val="none" w:sz="0" w:space="0" w:color="auto" w:frame="1"/>
        <w:vertAlign w:val="baseline"/>
      </w:rPr>
    </w:lvl>
    <w:lvl w:ilvl="3" w:tplc="0C3809D0">
      <w:start w:val="1"/>
      <w:numFmt w:val="bullet"/>
      <w:lvlText w:val="•"/>
      <w:lvlJc w:val="left"/>
      <w:pPr>
        <w:ind w:left="1428" w:firstLine="0"/>
      </w:pPr>
      <w:rPr>
        <w:rFonts w:ascii="Calibri" w:eastAsia="Calibri" w:hAnsi="Calibri" w:cs="Calibri"/>
        <w:b w:val="0"/>
        <w:i w:val="0"/>
        <w:color w:val="000000"/>
        <w:sz w:val="20"/>
        <w:u w:val="none" w:color="000000"/>
        <w:effect w:val="none"/>
        <w:bdr w:val="none" w:sz="0" w:space="0" w:color="auto" w:frame="1"/>
        <w:vertAlign w:val="baseline"/>
      </w:rPr>
    </w:lvl>
    <w:lvl w:ilvl="4" w:tplc="ABF6A5A2">
      <w:start w:val="1"/>
      <w:numFmt w:val="bullet"/>
      <w:lvlText w:val="o"/>
      <w:lvlJc w:val="left"/>
      <w:pPr>
        <w:ind w:left="2148" w:firstLine="0"/>
      </w:pPr>
      <w:rPr>
        <w:rFonts w:ascii="Calibri" w:eastAsia="Calibri" w:hAnsi="Calibri" w:cs="Calibri"/>
        <w:b w:val="0"/>
        <w:i w:val="0"/>
        <w:color w:val="000000"/>
        <w:sz w:val="20"/>
        <w:u w:val="none" w:color="000000"/>
        <w:effect w:val="none"/>
        <w:bdr w:val="none" w:sz="0" w:space="0" w:color="auto" w:frame="1"/>
        <w:vertAlign w:val="baseline"/>
      </w:rPr>
    </w:lvl>
    <w:lvl w:ilvl="5" w:tplc="C7E2BAB6">
      <w:start w:val="1"/>
      <w:numFmt w:val="bullet"/>
      <w:lvlText w:val="▪"/>
      <w:lvlJc w:val="left"/>
      <w:pPr>
        <w:ind w:left="2868" w:firstLine="0"/>
      </w:pPr>
      <w:rPr>
        <w:rFonts w:ascii="Calibri" w:eastAsia="Calibri" w:hAnsi="Calibri" w:cs="Calibri"/>
        <w:b w:val="0"/>
        <w:i w:val="0"/>
        <w:color w:val="000000"/>
        <w:sz w:val="20"/>
        <w:u w:val="none" w:color="000000"/>
        <w:effect w:val="none"/>
        <w:bdr w:val="none" w:sz="0" w:space="0" w:color="auto" w:frame="1"/>
        <w:vertAlign w:val="baseline"/>
      </w:rPr>
    </w:lvl>
    <w:lvl w:ilvl="6" w:tplc="478AFB32">
      <w:start w:val="1"/>
      <w:numFmt w:val="bullet"/>
      <w:lvlText w:val="•"/>
      <w:lvlJc w:val="left"/>
      <w:pPr>
        <w:ind w:left="3588" w:firstLine="0"/>
      </w:pPr>
      <w:rPr>
        <w:rFonts w:ascii="Calibri" w:eastAsia="Calibri" w:hAnsi="Calibri" w:cs="Calibri"/>
        <w:b w:val="0"/>
        <w:i w:val="0"/>
        <w:color w:val="000000"/>
        <w:sz w:val="20"/>
        <w:u w:val="none" w:color="000000"/>
        <w:effect w:val="none"/>
        <w:bdr w:val="none" w:sz="0" w:space="0" w:color="auto" w:frame="1"/>
        <w:vertAlign w:val="baseline"/>
      </w:rPr>
    </w:lvl>
    <w:lvl w:ilvl="7" w:tplc="3B98A7A6">
      <w:start w:val="1"/>
      <w:numFmt w:val="bullet"/>
      <w:lvlText w:val="o"/>
      <w:lvlJc w:val="left"/>
      <w:pPr>
        <w:ind w:left="4308" w:firstLine="0"/>
      </w:pPr>
      <w:rPr>
        <w:rFonts w:ascii="Calibri" w:eastAsia="Calibri" w:hAnsi="Calibri" w:cs="Calibri"/>
        <w:b w:val="0"/>
        <w:i w:val="0"/>
        <w:color w:val="000000"/>
        <w:sz w:val="20"/>
        <w:u w:val="none" w:color="000000"/>
        <w:effect w:val="none"/>
        <w:bdr w:val="none" w:sz="0" w:space="0" w:color="auto" w:frame="1"/>
        <w:vertAlign w:val="baseline"/>
      </w:rPr>
    </w:lvl>
    <w:lvl w:ilvl="8" w:tplc="FED4B5EC">
      <w:start w:val="1"/>
      <w:numFmt w:val="bullet"/>
      <w:lvlText w:val="▪"/>
      <w:lvlJc w:val="left"/>
      <w:pPr>
        <w:ind w:left="5028" w:firstLine="0"/>
      </w:pPr>
      <w:rPr>
        <w:rFonts w:ascii="Calibri" w:eastAsia="Calibri" w:hAnsi="Calibri" w:cs="Calibri"/>
        <w:b w:val="0"/>
        <w:i w:val="0"/>
        <w:color w:val="000000"/>
        <w:sz w:val="20"/>
        <w:u w:val="none" w:color="000000"/>
        <w:effect w:val="none"/>
        <w:bdr w:val="none" w:sz="0" w:space="0" w:color="auto" w:frame="1"/>
        <w:vertAlign w:val="baseline"/>
      </w:rPr>
    </w:lvl>
  </w:abstractNum>
  <w:abstractNum w:abstractNumId="15" w15:restartNumberingAfterBreak="0">
    <w:nsid w:val="00000010"/>
    <w:multiLevelType w:val="multilevel"/>
    <w:tmpl w:val="1BA4E316"/>
    <w:lvl w:ilvl="0">
      <w:start w:val="4"/>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6"/>
      <w:numFmt w:val="decimal"/>
      <w:lvlText w:val="%1.%2"/>
      <w:lvlJc w:val="left"/>
      <w:pPr>
        <w:ind w:left="540" w:firstLine="0"/>
      </w:pPr>
      <w:rPr>
        <w:rFonts w:ascii="Arial" w:eastAsia="Arial" w:hAnsi="Arial" w:cs="Arial"/>
        <w:b/>
        <w:i w:val="0"/>
        <w:color w:val="000000"/>
        <w:sz w:val="20"/>
        <w:u w:val="none" w:color="000000"/>
        <w:effect w:val="none"/>
        <w:bdr w:val="none" w:sz="0" w:space="0" w:color="auto" w:frame="1"/>
        <w:vertAlign w:val="baseline"/>
      </w:rPr>
    </w:lvl>
    <w:lvl w:ilvl="2">
      <w:start w:val="1"/>
      <w:numFmt w:val="decimal"/>
      <w:lvlText w:val="%1.%2.%3."/>
      <w:lvlJc w:val="left"/>
      <w:pPr>
        <w:ind w:left="1209" w:firstLine="0"/>
      </w:pPr>
      <w:rPr>
        <w:rFonts w:ascii="Arial" w:eastAsia="Arial" w:hAnsi="Arial" w:cs="Arial"/>
        <w:b/>
        <w:i w:val="0"/>
        <w:color w:val="000000"/>
        <w:sz w:val="20"/>
        <w:u w:val="none" w:color="000000"/>
        <w:effect w:val="none"/>
        <w:bdr w:val="none" w:sz="0" w:space="0" w:color="auto" w:frame="1"/>
        <w:vertAlign w:val="baseline"/>
      </w:rPr>
    </w:lvl>
    <w:lvl w:ilvl="3">
      <w:start w:val="1"/>
      <w:numFmt w:val="decimal"/>
      <w:lvlText w:val="%4"/>
      <w:lvlJc w:val="left"/>
      <w:pPr>
        <w:ind w:left="1785" w:firstLine="0"/>
      </w:pPr>
      <w:rPr>
        <w:rFonts w:ascii="Arial" w:eastAsia="Arial" w:hAnsi="Arial" w:cs="Arial"/>
        <w:b/>
        <w:i w:val="0"/>
        <w:color w:val="000000"/>
        <w:sz w:val="20"/>
        <w:u w:val="none" w:color="000000"/>
        <w:effect w:val="none"/>
        <w:bdr w:val="none" w:sz="0" w:space="0" w:color="auto" w:frame="1"/>
        <w:vertAlign w:val="baseline"/>
      </w:rPr>
    </w:lvl>
    <w:lvl w:ilvl="4">
      <w:start w:val="1"/>
      <w:numFmt w:val="lowerLetter"/>
      <w:lvlText w:val="%5"/>
      <w:lvlJc w:val="left"/>
      <w:pPr>
        <w:ind w:left="2505" w:firstLine="0"/>
      </w:pPr>
      <w:rPr>
        <w:rFonts w:ascii="Arial" w:eastAsia="Arial" w:hAnsi="Arial" w:cs="Arial"/>
        <w:b/>
        <w:i w:val="0"/>
        <w:color w:val="000000"/>
        <w:sz w:val="20"/>
        <w:u w:val="none" w:color="000000"/>
        <w:effect w:val="none"/>
        <w:bdr w:val="none" w:sz="0" w:space="0" w:color="auto" w:frame="1"/>
        <w:vertAlign w:val="baseline"/>
      </w:rPr>
    </w:lvl>
    <w:lvl w:ilvl="5">
      <w:start w:val="1"/>
      <w:numFmt w:val="lowerRoman"/>
      <w:lvlText w:val="%6"/>
      <w:lvlJc w:val="left"/>
      <w:pPr>
        <w:ind w:left="3225" w:firstLine="0"/>
      </w:pPr>
      <w:rPr>
        <w:rFonts w:ascii="Arial" w:eastAsia="Arial" w:hAnsi="Arial" w:cs="Arial"/>
        <w:b/>
        <w:i w:val="0"/>
        <w:color w:val="000000"/>
        <w:sz w:val="20"/>
        <w:u w:val="none" w:color="000000"/>
        <w:effect w:val="none"/>
        <w:bdr w:val="none" w:sz="0" w:space="0" w:color="auto" w:frame="1"/>
        <w:vertAlign w:val="baseline"/>
      </w:rPr>
    </w:lvl>
    <w:lvl w:ilvl="6">
      <w:start w:val="1"/>
      <w:numFmt w:val="decimal"/>
      <w:lvlText w:val="%7"/>
      <w:lvlJc w:val="left"/>
      <w:pPr>
        <w:ind w:left="3945" w:firstLine="0"/>
      </w:pPr>
      <w:rPr>
        <w:rFonts w:ascii="Arial" w:eastAsia="Arial" w:hAnsi="Arial" w:cs="Arial"/>
        <w:b/>
        <w:i w:val="0"/>
        <w:color w:val="000000"/>
        <w:sz w:val="20"/>
        <w:u w:val="none" w:color="000000"/>
        <w:effect w:val="none"/>
        <w:bdr w:val="none" w:sz="0" w:space="0" w:color="auto" w:frame="1"/>
        <w:vertAlign w:val="baseline"/>
      </w:rPr>
    </w:lvl>
    <w:lvl w:ilvl="7">
      <w:start w:val="1"/>
      <w:numFmt w:val="lowerLetter"/>
      <w:lvlText w:val="%8"/>
      <w:lvlJc w:val="left"/>
      <w:pPr>
        <w:ind w:left="4665" w:firstLine="0"/>
      </w:pPr>
      <w:rPr>
        <w:rFonts w:ascii="Arial" w:eastAsia="Arial" w:hAnsi="Arial" w:cs="Arial"/>
        <w:b/>
        <w:i w:val="0"/>
        <w:color w:val="000000"/>
        <w:sz w:val="20"/>
        <w:u w:val="none" w:color="000000"/>
        <w:effect w:val="none"/>
        <w:bdr w:val="none" w:sz="0" w:space="0" w:color="auto" w:frame="1"/>
        <w:vertAlign w:val="baseline"/>
      </w:rPr>
    </w:lvl>
    <w:lvl w:ilvl="8">
      <w:start w:val="1"/>
      <w:numFmt w:val="lowerRoman"/>
      <w:lvlText w:val="%9"/>
      <w:lvlJc w:val="left"/>
      <w:pPr>
        <w:ind w:left="5385" w:firstLine="0"/>
      </w:pPr>
      <w:rPr>
        <w:rFonts w:ascii="Arial" w:eastAsia="Arial" w:hAnsi="Arial" w:cs="Arial"/>
        <w:b/>
        <w:i w:val="0"/>
        <w:color w:val="000000"/>
        <w:sz w:val="20"/>
        <w:u w:val="none" w:color="000000"/>
        <w:effect w:val="none"/>
        <w:bdr w:val="none" w:sz="0" w:space="0" w:color="auto" w:frame="1"/>
        <w:vertAlign w:val="baseline"/>
      </w:rPr>
    </w:lvl>
  </w:abstractNum>
  <w:abstractNum w:abstractNumId="16" w15:restartNumberingAfterBreak="0">
    <w:nsid w:val="00000011"/>
    <w:multiLevelType w:val="multilevel"/>
    <w:tmpl w:val="0218B29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12"/>
    <w:multiLevelType w:val="multilevel"/>
    <w:tmpl w:val="0DDCEE6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19" w15:restartNumberingAfterBreak="0">
    <w:nsid w:val="00000014"/>
    <w:multiLevelType w:val="multilevel"/>
    <w:tmpl w:val="8080163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00000015"/>
    <w:multiLevelType w:val="multilevel"/>
    <w:tmpl w:val="8368BF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16"/>
    <w:multiLevelType w:val="multilevel"/>
    <w:tmpl w:val="0C86C3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17"/>
    <w:multiLevelType w:val="hybridMultilevel"/>
    <w:tmpl w:val="783E792E"/>
    <w:lvl w:ilvl="0" w:tplc="385EB762">
      <w:start w:val="1"/>
      <w:numFmt w:val="lowerLetter"/>
      <w:lvlText w:val="%1)"/>
      <w:lvlJc w:val="left"/>
      <w:pPr>
        <w:ind w:left="900" w:firstLine="0"/>
      </w:pPr>
      <w:rPr>
        <w:rFonts w:ascii="Arial" w:eastAsia="Arial" w:hAnsi="Arial" w:cs="Arial"/>
        <w:b w:val="0"/>
        <w:i w:val="0"/>
        <w:color w:val="000000"/>
        <w:sz w:val="20"/>
        <w:u w:val="none" w:color="000000"/>
        <w:effect w:val="none"/>
        <w:bdr w:val="none" w:sz="0" w:space="0" w:color="auto" w:frame="1"/>
        <w:vertAlign w:val="baseline"/>
      </w:rPr>
    </w:lvl>
    <w:lvl w:ilvl="1" w:tplc="9D5C6192">
      <w:start w:val="1"/>
      <w:numFmt w:val="lowerLetter"/>
      <w:lvlText w:val="%2"/>
      <w:lvlJc w:val="left"/>
      <w:pPr>
        <w:ind w:left="1532" w:firstLine="0"/>
      </w:pPr>
      <w:rPr>
        <w:rFonts w:ascii="Arial" w:eastAsia="Arial" w:hAnsi="Arial" w:cs="Arial"/>
        <w:b w:val="0"/>
        <w:i w:val="0"/>
        <w:color w:val="000000"/>
        <w:sz w:val="20"/>
        <w:u w:val="none" w:color="000000"/>
        <w:effect w:val="none"/>
        <w:bdr w:val="none" w:sz="0" w:space="0" w:color="auto" w:frame="1"/>
        <w:vertAlign w:val="baseline"/>
      </w:rPr>
    </w:lvl>
    <w:lvl w:ilvl="2" w:tplc="9F7A732C">
      <w:start w:val="1"/>
      <w:numFmt w:val="lowerRoman"/>
      <w:lvlText w:val="%3"/>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3" w:tplc="B934858E">
      <w:start w:val="1"/>
      <w:numFmt w:val="decimal"/>
      <w:lvlText w:val="%4"/>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4" w:tplc="1EFCFDF6">
      <w:start w:val="1"/>
      <w:numFmt w:val="lowerLetter"/>
      <w:lvlText w:val="%5"/>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5" w:tplc="67F241B4">
      <w:start w:val="1"/>
      <w:numFmt w:val="lowerRoman"/>
      <w:lvlText w:val="%6"/>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6" w:tplc="1A044DDE">
      <w:start w:val="1"/>
      <w:numFmt w:val="decimal"/>
      <w:lvlText w:val="%7"/>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lvl w:ilvl="7" w:tplc="93269AB0">
      <w:start w:val="1"/>
      <w:numFmt w:val="lowerLetter"/>
      <w:lvlText w:val="%8"/>
      <w:lvlJc w:val="left"/>
      <w:pPr>
        <w:ind w:left="5852" w:firstLine="0"/>
      </w:pPr>
      <w:rPr>
        <w:rFonts w:ascii="Arial" w:eastAsia="Arial" w:hAnsi="Arial" w:cs="Arial"/>
        <w:b w:val="0"/>
        <w:i w:val="0"/>
        <w:color w:val="000000"/>
        <w:sz w:val="20"/>
        <w:u w:val="none" w:color="000000"/>
        <w:effect w:val="none"/>
        <w:bdr w:val="none" w:sz="0" w:space="0" w:color="auto" w:frame="1"/>
        <w:vertAlign w:val="baseline"/>
      </w:rPr>
    </w:lvl>
    <w:lvl w:ilvl="8" w:tplc="D55A97AC">
      <w:start w:val="1"/>
      <w:numFmt w:val="lowerRoman"/>
      <w:lvlText w:val="%9"/>
      <w:lvlJc w:val="left"/>
      <w:pPr>
        <w:ind w:left="6572"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3" w15:restartNumberingAfterBreak="0">
    <w:nsid w:val="00000018"/>
    <w:multiLevelType w:val="hybridMultilevel"/>
    <w:tmpl w:val="34E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600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1DF2227E"/>
    <w:lvl w:ilvl="0" w:tplc="C396C9EA">
      <w:start w:val="1"/>
      <w:numFmt w:val="lowerLetter"/>
      <w:lvlText w:val="%1)"/>
      <w:lvlJc w:val="left"/>
      <w:pPr>
        <w:ind w:left="1157" w:firstLine="0"/>
      </w:pPr>
      <w:rPr>
        <w:rFonts w:ascii="Arial" w:eastAsia="Arial" w:hAnsi="Arial" w:cs="Arial"/>
        <w:b w:val="0"/>
        <w:i w:val="0"/>
        <w:color w:val="000000"/>
        <w:sz w:val="20"/>
        <w:u w:val="none" w:color="000000"/>
        <w:effect w:val="none"/>
        <w:bdr w:val="none" w:sz="0" w:space="0" w:color="auto" w:frame="1"/>
        <w:vertAlign w:val="baseline"/>
      </w:rPr>
    </w:lvl>
    <w:lvl w:ilvl="1" w:tplc="A71450EC">
      <w:start w:val="1"/>
      <w:numFmt w:val="lowerLetter"/>
      <w:lvlText w:val="%2"/>
      <w:lvlJc w:val="left"/>
      <w:pPr>
        <w:ind w:left="1965" w:firstLine="0"/>
      </w:pPr>
      <w:rPr>
        <w:rFonts w:ascii="Arial" w:eastAsia="Arial" w:hAnsi="Arial" w:cs="Arial"/>
        <w:b w:val="0"/>
        <w:i w:val="0"/>
        <w:color w:val="000000"/>
        <w:sz w:val="20"/>
        <w:u w:val="none" w:color="000000"/>
        <w:effect w:val="none"/>
        <w:bdr w:val="none" w:sz="0" w:space="0" w:color="auto" w:frame="1"/>
        <w:vertAlign w:val="baseline"/>
      </w:rPr>
    </w:lvl>
    <w:lvl w:ilvl="2" w:tplc="D1322B92">
      <w:start w:val="1"/>
      <w:numFmt w:val="lowerRoman"/>
      <w:lvlText w:val="%3"/>
      <w:lvlJc w:val="left"/>
      <w:pPr>
        <w:ind w:left="2685" w:firstLine="0"/>
      </w:pPr>
      <w:rPr>
        <w:rFonts w:ascii="Arial" w:eastAsia="Arial" w:hAnsi="Arial" w:cs="Arial"/>
        <w:b w:val="0"/>
        <w:i w:val="0"/>
        <w:color w:val="000000"/>
        <w:sz w:val="20"/>
        <w:u w:val="none" w:color="000000"/>
        <w:effect w:val="none"/>
        <w:bdr w:val="none" w:sz="0" w:space="0" w:color="auto" w:frame="1"/>
        <w:vertAlign w:val="baseline"/>
      </w:rPr>
    </w:lvl>
    <w:lvl w:ilvl="3" w:tplc="0C464976">
      <w:start w:val="1"/>
      <w:numFmt w:val="decimal"/>
      <w:lvlText w:val="%4"/>
      <w:lvlJc w:val="left"/>
      <w:pPr>
        <w:ind w:left="3405" w:firstLine="0"/>
      </w:pPr>
      <w:rPr>
        <w:rFonts w:ascii="Arial" w:eastAsia="Arial" w:hAnsi="Arial" w:cs="Arial"/>
        <w:b w:val="0"/>
        <w:i w:val="0"/>
        <w:color w:val="000000"/>
        <w:sz w:val="20"/>
        <w:u w:val="none" w:color="000000"/>
        <w:effect w:val="none"/>
        <w:bdr w:val="none" w:sz="0" w:space="0" w:color="auto" w:frame="1"/>
        <w:vertAlign w:val="baseline"/>
      </w:rPr>
    </w:lvl>
    <w:lvl w:ilvl="4" w:tplc="A08817CC">
      <w:start w:val="1"/>
      <w:numFmt w:val="lowerLetter"/>
      <w:lvlText w:val="%5"/>
      <w:lvlJc w:val="left"/>
      <w:pPr>
        <w:ind w:left="4125" w:firstLine="0"/>
      </w:pPr>
      <w:rPr>
        <w:rFonts w:ascii="Arial" w:eastAsia="Arial" w:hAnsi="Arial" w:cs="Arial"/>
        <w:b w:val="0"/>
        <w:i w:val="0"/>
        <w:color w:val="000000"/>
        <w:sz w:val="20"/>
        <w:u w:val="none" w:color="000000"/>
        <w:effect w:val="none"/>
        <w:bdr w:val="none" w:sz="0" w:space="0" w:color="auto" w:frame="1"/>
        <w:vertAlign w:val="baseline"/>
      </w:rPr>
    </w:lvl>
    <w:lvl w:ilvl="5" w:tplc="3DB6F1E2">
      <w:start w:val="1"/>
      <w:numFmt w:val="lowerRoman"/>
      <w:lvlText w:val="%6"/>
      <w:lvlJc w:val="left"/>
      <w:pPr>
        <w:ind w:left="4845" w:firstLine="0"/>
      </w:pPr>
      <w:rPr>
        <w:rFonts w:ascii="Arial" w:eastAsia="Arial" w:hAnsi="Arial" w:cs="Arial"/>
        <w:b w:val="0"/>
        <w:i w:val="0"/>
        <w:color w:val="000000"/>
        <w:sz w:val="20"/>
        <w:u w:val="none" w:color="000000"/>
        <w:effect w:val="none"/>
        <w:bdr w:val="none" w:sz="0" w:space="0" w:color="auto" w:frame="1"/>
        <w:vertAlign w:val="baseline"/>
      </w:rPr>
    </w:lvl>
    <w:lvl w:ilvl="6" w:tplc="05DC3AFA">
      <w:start w:val="1"/>
      <w:numFmt w:val="decimal"/>
      <w:lvlText w:val="%7"/>
      <w:lvlJc w:val="left"/>
      <w:pPr>
        <w:ind w:left="5565" w:firstLine="0"/>
      </w:pPr>
      <w:rPr>
        <w:rFonts w:ascii="Arial" w:eastAsia="Arial" w:hAnsi="Arial" w:cs="Arial"/>
        <w:b w:val="0"/>
        <w:i w:val="0"/>
        <w:color w:val="000000"/>
        <w:sz w:val="20"/>
        <w:u w:val="none" w:color="000000"/>
        <w:effect w:val="none"/>
        <w:bdr w:val="none" w:sz="0" w:space="0" w:color="auto" w:frame="1"/>
        <w:vertAlign w:val="baseline"/>
      </w:rPr>
    </w:lvl>
    <w:lvl w:ilvl="7" w:tplc="D53A9A7C">
      <w:start w:val="1"/>
      <w:numFmt w:val="lowerLetter"/>
      <w:lvlText w:val="%8"/>
      <w:lvlJc w:val="left"/>
      <w:pPr>
        <w:ind w:left="6285" w:firstLine="0"/>
      </w:pPr>
      <w:rPr>
        <w:rFonts w:ascii="Arial" w:eastAsia="Arial" w:hAnsi="Arial" w:cs="Arial"/>
        <w:b w:val="0"/>
        <w:i w:val="0"/>
        <w:color w:val="000000"/>
        <w:sz w:val="20"/>
        <w:u w:val="none" w:color="000000"/>
        <w:effect w:val="none"/>
        <w:bdr w:val="none" w:sz="0" w:space="0" w:color="auto" w:frame="1"/>
        <w:vertAlign w:val="baseline"/>
      </w:rPr>
    </w:lvl>
    <w:lvl w:ilvl="8" w:tplc="0A9671FC">
      <w:start w:val="1"/>
      <w:numFmt w:val="lowerRoman"/>
      <w:lvlText w:val="%9"/>
      <w:lvlJc w:val="left"/>
      <w:pPr>
        <w:ind w:left="7005" w:firstLine="0"/>
      </w:pPr>
      <w:rPr>
        <w:rFonts w:ascii="Arial" w:eastAsia="Arial" w:hAnsi="Arial" w:cs="Arial"/>
        <w:b w:val="0"/>
        <w:i w:val="0"/>
        <w:color w:val="000000"/>
        <w:sz w:val="20"/>
        <w:u w:val="none" w:color="000000"/>
        <w:effect w:val="none"/>
        <w:bdr w:val="none" w:sz="0" w:space="0" w:color="auto" w:frame="1"/>
        <w:vertAlign w:val="baseline"/>
      </w:rPr>
    </w:lvl>
  </w:abstractNum>
  <w:abstractNum w:abstractNumId="26" w15:restartNumberingAfterBreak="0">
    <w:nsid w:val="454D6F56"/>
    <w:multiLevelType w:val="hybridMultilevel"/>
    <w:tmpl w:val="2750A284"/>
    <w:lvl w:ilvl="0" w:tplc="9C784688">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11D56"/>
    <w:multiLevelType w:val="multilevel"/>
    <w:tmpl w:val="B9CECB72"/>
    <w:lvl w:ilvl="0">
      <w:start w:val="5"/>
      <w:numFmt w:val="decimal"/>
      <w:lvlText w:val="%1."/>
      <w:lvlJc w:val="left"/>
      <w:pPr>
        <w:ind w:left="360" w:firstLine="0"/>
      </w:pPr>
      <w:rPr>
        <w:rFonts w:ascii="Arial" w:eastAsia="Arial" w:hAnsi="Arial" w:cs="Arial"/>
        <w:b/>
        <w:i w:val="0"/>
        <w:color w:val="000000"/>
        <w:sz w:val="20"/>
        <w:u w:val="none" w:color="000000"/>
        <w:effect w:val="none"/>
        <w:bdr w:val="none" w:sz="0" w:space="0" w:color="auto" w:frame="1"/>
        <w:vertAlign w:val="baseline"/>
      </w:rPr>
    </w:lvl>
    <w:lvl w:ilvl="1">
      <w:start w:val="1"/>
      <w:numFmt w:val="decimal"/>
      <w:lvlText w:val="%1.%2."/>
      <w:lvlJc w:val="left"/>
      <w:pPr>
        <w:ind w:left="848" w:firstLine="0"/>
      </w:pPr>
      <w:rPr>
        <w:rFonts w:ascii="Arial" w:eastAsia="Arial" w:hAnsi="Arial" w:cs="Arial"/>
        <w:b/>
        <w:i w:val="0"/>
        <w:color w:val="000000"/>
        <w:sz w:val="20"/>
        <w:u w:val="none" w:color="000000"/>
        <w:effect w:val="none"/>
        <w:bdr w:val="none" w:sz="0" w:space="0" w:color="auto" w:frame="1"/>
        <w:vertAlign w:val="baseline"/>
      </w:rPr>
    </w:lvl>
    <w:lvl w:ilvl="2">
      <w:start w:val="1"/>
      <w:numFmt w:val="bullet"/>
      <w:lvlText w:val=""/>
      <w:lvlJc w:val="left"/>
      <w:pPr>
        <w:ind w:left="900" w:firstLine="0"/>
      </w:pPr>
      <w:rPr>
        <w:rFonts w:ascii="Wingdings" w:hAnsi="Wingdings" w:hint="default"/>
        <w:b w:val="0"/>
        <w:i w:val="0"/>
        <w:color w:val="000000"/>
        <w:sz w:val="20"/>
        <w:u w:val="none" w:color="000000"/>
        <w:effect w:val="none"/>
        <w:bdr w:val="none" w:sz="0" w:space="0" w:color="auto" w:frame="1"/>
        <w:vertAlign w:val="baseline"/>
      </w:rPr>
    </w:lvl>
    <w:lvl w:ilvl="3">
      <w:start w:val="1"/>
      <w:numFmt w:val="bullet"/>
      <w:lvlText w:val=""/>
      <w:lvlJc w:val="left"/>
      <w:pPr>
        <w:ind w:left="1532" w:firstLine="0"/>
      </w:pPr>
      <w:rPr>
        <w:rFonts w:ascii="Wingdings" w:hAnsi="Wingdings" w:hint="default"/>
        <w:b w:val="0"/>
        <w:i w:val="0"/>
        <w:color w:val="000000"/>
        <w:sz w:val="20"/>
        <w:u w:val="none" w:color="000000"/>
        <w:effect w:val="none"/>
        <w:bdr w:val="none" w:sz="0" w:space="0" w:color="auto" w:frame="1"/>
        <w:vertAlign w:val="baseline"/>
      </w:rPr>
    </w:lvl>
    <w:lvl w:ilvl="4">
      <w:start w:val="1"/>
      <w:numFmt w:val="lowerLetter"/>
      <w:lvlText w:val="%5"/>
      <w:lvlJc w:val="left"/>
      <w:pPr>
        <w:ind w:left="2252" w:firstLine="0"/>
      </w:pPr>
      <w:rPr>
        <w:rFonts w:ascii="Arial" w:eastAsia="Arial" w:hAnsi="Arial" w:cs="Arial"/>
        <w:b w:val="0"/>
        <w:i w:val="0"/>
        <w:color w:val="000000"/>
        <w:sz w:val="20"/>
        <w:u w:val="none" w:color="000000"/>
        <w:effect w:val="none"/>
        <w:bdr w:val="none" w:sz="0" w:space="0" w:color="auto" w:frame="1"/>
        <w:vertAlign w:val="baseline"/>
      </w:rPr>
    </w:lvl>
    <w:lvl w:ilvl="5">
      <w:start w:val="1"/>
      <w:numFmt w:val="lowerRoman"/>
      <w:lvlText w:val="%6"/>
      <w:lvlJc w:val="left"/>
      <w:pPr>
        <w:ind w:left="2972" w:firstLine="0"/>
      </w:pPr>
      <w:rPr>
        <w:rFonts w:ascii="Arial" w:eastAsia="Arial" w:hAnsi="Arial" w:cs="Arial"/>
        <w:b w:val="0"/>
        <w:i w:val="0"/>
        <w:color w:val="000000"/>
        <w:sz w:val="20"/>
        <w:u w:val="none" w:color="000000"/>
        <w:effect w:val="none"/>
        <w:bdr w:val="none" w:sz="0" w:space="0" w:color="auto" w:frame="1"/>
        <w:vertAlign w:val="baseline"/>
      </w:rPr>
    </w:lvl>
    <w:lvl w:ilvl="6">
      <w:start w:val="1"/>
      <w:numFmt w:val="decimal"/>
      <w:lvlText w:val="%7"/>
      <w:lvlJc w:val="left"/>
      <w:pPr>
        <w:ind w:left="3692" w:firstLine="0"/>
      </w:pPr>
      <w:rPr>
        <w:rFonts w:ascii="Arial" w:eastAsia="Arial" w:hAnsi="Arial" w:cs="Arial"/>
        <w:b w:val="0"/>
        <w:i w:val="0"/>
        <w:color w:val="000000"/>
        <w:sz w:val="20"/>
        <w:u w:val="none" w:color="000000"/>
        <w:effect w:val="none"/>
        <w:bdr w:val="none" w:sz="0" w:space="0" w:color="auto" w:frame="1"/>
        <w:vertAlign w:val="baseline"/>
      </w:rPr>
    </w:lvl>
    <w:lvl w:ilvl="7">
      <w:start w:val="1"/>
      <w:numFmt w:val="lowerLetter"/>
      <w:lvlText w:val="%8"/>
      <w:lvlJc w:val="left"/>
      <w:pPr>
        <w:ind w:left="4412" w:firstLine="0"/>
      </w:pPr>
      <w:rPr>
        <w:rFonts w:ascii="Arial" w:eastAsia="Arial" w:hAnsi="Arial" w:cs="Arial"/>
        <w:b w:val="0"/>
        <w:i w:val="0"/>
        <w:color w:val="000000"/>
        <w:sz w:val="20"/>
        <w:u w:val="none" w:color="000000"/>
        <w:effect w:val="none"/>
        <w:bdr w:val="none" w:sz="0" w:space="0" w:color="auto" w:frame="1"/>
        <w:vertAlign w:val="baseline"/>
      </w:rPr>
    </w:lvl>
    <w:lvl w:ilvl="8">
      <w:start w:val="1"/>
      <w:numFmt w:val="lowerRoman"/>
      <w:lvlText w:val="%9"/>
      <w:lvlJc w:val="left"/>
      <w:pPr>
        <w:ind w:left="5132" w:firstLine="0"/>
      </w:pPr>
      <w:rPr>
        <w:rFonts w:ascii="Arial" w:eastAsia="Arial" w:hAnsi="Arial" w:cs="Arial"/>
        <w:b w:val="0"/>
        <w:i w:val="0"/>
        <w:color w:val="000000"/>
        <w:sz w:val="20"/>
        <w:u w:val="none" w:color="000000"/>
        <w:effect w:val="none"/>
        <w:bdr w:val="none" w:sz="0" w:space="0" w:color="auto" w:frame="1"/>
        <w:vertAlign w:val="baseline"/>
      </w:rPr>
    </w:lvl>
  </w:abstractNum>
  <w:num w:numId="1">
    <w:abstractNumId w:val="14"/>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9"/>
    <w:lvlOverride w:ilvl="0">
      <w:lvl w:ilvl="0">
        <w:start w:val="1"/>
        <w:numFmt w:val="bullet"/>
        <w:lvlText w:val=""/>
        <w:lvlJc w:val="left"/>
        <w:pPr>
          <w:tabs>
            <w:tab w:val="left" w:pos="720"/>
          </w:tabs>
          <w:ind w:left="720" w:hanging="360"/>
        </w:pPr>
        <w:rPr>
          <w:rFonts w:ascii="Wingdings" w:hAnsi="Wingdings" w:hint="default"/>
          <w:sz w:val="20"/>
        </w:rPr>
      </w:lvl>
    </w:lvlOverride>
  </w:num>
  <w:num w:numId="13">
    <w:abstractNumId w:val="19"/>
    <w:lvlOverride w:ilvl="0">
      <w:lvl w:ilvl="0">
        <w:start w:val="1"/>
        <w:numFmt w:val="bullet"/>
        <w:lvlText w:val=""/>
        <w:lvlJc w:val="left"/>
        <w:pPr>
          <w:tabs>
            <w:tab w:val="left" w:pos="720"/>
          </w:tabs>
          <w:ind w:left="720" w:hanging="360"/>
        </w:pPr>
        <w:rPr>
          <w:rFonts w:ascii="Wingdings" w:hAnsi="Wingdings" w:hint="default"/>
          <w:sz w:val="20"/>
        </w:rPr>
      </w:lvl>
    </w:lvlOverride>
    <w:lvlOverride w:ilvl="1">
      <w:lvl w:ilvl="1">
        <w:start w:val="1"/>
        <w:numFmt w:val="bullet"/>
        <w:lvlText w:val=""/>
        <w:lvlJc w:val="left"/>
        <w:pPr>
          <w:tabs>
            <w:tab w:val="left" w:pos="1440"/>
          </w:tabs>
          <w:ind w:left="1440" w:hanging="360"/>
        </w:pPr>
        <w:rPr>
          <w:rFonts w:ascii="Wingdings" w:hAnsi="Wingdings" w:hint="default"/>
          <w:sz w:val="20"/>
        </w:rPr>
      </w:lvl>
    </w:lvlOverride>
  </w:num>
  <w:num w:numId="14">
    <w:abstractNumId w:val="17"/>
    <w:lvlOverride w:ilvl="0">
      <w:lvl w:ilvl="0">
        <w:start w:val="1"/>
        <w:numFmt w:val="bullet"/>
        <w:lvlText w:val=""/>
        <w:lvlJc w:val="left"/>
        <w:pPr>
          <w:tabs>
            <w:tab w:val="left" w:pos="720"/>
          </w:tabs>
          <w:ind w:left="720" w:hanging="360"/>
        </w:pPr>
        <w:rPr>
          <w:rFonts w:ascii="Wingdings" w:hAnsi="Wingdings" w:hint="default"/>
          <w:sz w:val="20"/>
        </w:rPr>
      </w:lvl>
    </w:lvlOverride>
  </w:num>
  <w:num w:numId="15">
    <w:abstractNumId w:val="20"/>
    <w:lvlOverride w:ilvl="0">
      <w:lvl w:ilvl="0">
        <w:start w:val="1"/>
        <w:numFmt w:val="bullet"/>
        <w:lvlText w:val=""/>
        <w:lvlJc w:val="left"/>
        <w:pPr>
          <w:tabs>
            <w:tab w:val="left" w:pos="720"/>
          </w:tabs>
          <w:ind w:left="720" w:hanging="360"/>
        </w:pPr>
        <w:rPr>
          <w:rFonts w:ascii="Wingdings" w:hAnsi="Wingdings" w:hint="default"/>
          <w:sz w:val="20"/>
        </w:rPr>
      </w:lvl>
    </w:lvlOverride>
  </w:num>
  <w:num w:numId="16">
    <w:abstractNumId w:val="2"/>
  </w:num>
  <w:num w:numId="17">
    <w:abstractNumId w:val="11"/>
  </w:num>
  <w:num w:numId="18">
    <w:abstractNumId w:val="16"/>
    <w:lvlOverride w:ilvl="0">
      <w:lvl w:ilvl="0">
        <w:start w:val="1"/>
        <w:numFmt w:val="bullet"/>
        <w:lvlText w:val=""/>
        <w:lvlJc w:val="left"/>
        <w:pPr>
          <w:tabs>
            <w:tab w:val="left" w:pos="720"/>
          </w:tabs>
          <w:ind w:left="720" w:hanging="360"/>
        </w:pPr>
        <w:rPr>
          <w:rFonts w:ascii="Wingdings" w:hAnsi="Wingdings" w:hint="default"/>
          <w:sz w:val="20"/>
        </w:rPr>
      </w:lvl>
    </w:lvlOverride>
  </w:num>
  <w:num w:numId="19">
    <w:abstractNumId w:val="4"/>
    <w:lvlOverride w:ilvl="0">
      <w:lvl w:ilvl="0">
        <w:start w:val="1"/>
        <w:numFmt w:val="bullet"/>
        <w:lvlText w:val=""/>
        <w:lvlJc w:val="left"/>
        <w:pPr>
          <w:tabs>
            <w:tab w:val="left" w:pos="720"/>
          </w:tabs>
          <w:ind w:left="720" w:hanging="360"/>
        </w:pPr>
        <w:rPr>
          <w:rFonts w:ascii="Wingdings" w:hAnsi="Wingdings" w:hint="default"/>
          <w:sz w:val="20"/>
        </w:rPr>
      </w:lvl>
    </w:lvlOverride>
  </w:num>
  <w:num w:numId="20">
    <w:abstractNumId w:val="21"/>
    <w:lvlOverride w:ilvl="0">
      <w:lvl w:ilvl="0">
        <w:start w:val="1"/>
        <w:numFmt w:val="bullet"/>
        <w:lvlText w:val=""/>
        <w:lvlJc w:val="left"/>
        <w:pPr>
          <w:tabs>
            <w:tab w:val="left" w:pos="720"/>
          </w:tabs>
          <w:ind w:left="720" w:hanging="360"/>
        </w:pPr>
        <w:rPr>
          <w:rFonts w:ascii="Wingdings" w:hAnsi="Wingdings" w:hint="default"/>
          <w:sz w:val="20"/>
        </w:rPr>
      </w:lvl>
    </w:lvlOverride>
  </w:num>
  <w:num w:numId="21">
    <w:abstractNumId w:val="24"/>
  </w:num>
  <w:num w:numId="22">
    <w:abstractNumId w:val="6"/>
  </w:num>
  <w:num w:numId="23">
    <w:abstractNumId w:val="1"/>
  </w:num>
  <w:num w:numId="24">
    <w:abstractNumId w:val="12"/>
  </w:num>
  <w:num w:numId="25">
    <w:abstractNumId w:val="0"/>
  </w:num>
  <w:num w:numId="26">
    <w:abstractNumId w:val="13"/>
  </w:num>
  <w:num w:numId="27">
    <w:abstractNumId w:val="3"/>
  </w:num>
  <w:num w:numId="28">
    <w:abstractNumId w:val="18"/>
  </w:num>
  <w:num w:numId="29">
    <w:abstractNumId w:val="27"/>
  </w:num>
  <w:num w:numId="30">
    <w:abstractNumId w:val="7"/>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F0"/>
    <w:rsid w:val="000D01A7"/>
    <w:rsid w:val="004664DE"/>
    <w:rsid w:val="00B71E63"/>
    <w:rsid w:val="00C323D1"/>
    <w:rsid w:val="00C872D9"/>
    <w:rsid w:val="00D21E25"/>
    <w:rsid w:val="00F6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D04C"/>
  <w15:docId w15:val="{4534724C-BF7B-4B44-B79A-3AD903E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cs="Times New Roman"/>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rPr>
      <w:rFonts w:eastAsia="Times New Roman" w:cs="Times New Roman"/>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numbering" w:customStyle="1" w:styleId="NoList1">
    <w:name w:val="No List1"/>
    <w:next w:val="NoLis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name">
    <w:name w:val="name"/>
    <w:basedOn w:val="DefaultParagraphFont"/>
  </w:style>
  <w:style w:type="character" w:customStyle="1" w:styleId="occupation">
    <w:name w:val="occupation"/>
    <w:basedOn w:val="DefaultParagraphFont"/>
  </w:style>
  <w:style w:type="character" w:customStyle="1" w:styleId="webaddress">
    <w:name w:val="webaddress"/>
    <w:basedOn w:val="DefaultParagraphFont"/>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2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'Construction Project Timeline'!$D$8</c:f>
              <c:strCache>
                <c:ptCount val="1"/>
                <c:pt idx="0">
                  <c:v>START DATE</c:v>
                </c:pt>
              </c:strCache>
            </c:strRef>
          </c:tx>
          <c:spPr>
            <a:noFill/>
            <a:ln>
              <a:noFill/>
            </a:ln>
            <a:effectLst/>
          </c:spPr>
          <c:invertIfNegative val="0"/>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Timeline'!$D$9:$D$39</c:f>
              <c:numCache>
                <c:formatCode>mm/dd</c:formatCode>
                <c:ptCount val="31"/>
                <c:pt idx="0">
                  <c:v>45921</c:v>
                </c:pt>
                <c:pt idx="1">
                  <c:v>45931</c:v>
                </c:pt>
                <c:pt idx="2">
                  <c:v>45955</c:v>
                </c:pt>
                <c:pt idx="3">
                  <c:v>45962</c:v>
                </c:pt>
                <c:pt idx="4">
                  <c:v>45974</c:v>
                </c:pt>
                <c:pt idx="5">
                  <c:v>45955</c:v>
                </c:pt>
                <c:pt idx="6">
                  <c:v>45980</c:v>
                </c:pt>
                <c:pt idx="7">
                  <c:v>45959</c:v>
                </c:pt>
                <c:pt idx="8">
                  <c:v>45983</c:v>
                </c:pt>
                <c:pt idx="9">
                  <c:v>45990</c:v>
                </c:pt>
                <c:pt idx="10">
                  <c:v>46001</c:v>
                </c:pt>
                <c:pt idx="11">
                  <c:v>46001</c:v>
                </c:pt>
                <c:pt idx="12">
                  <c:v>45994</c:v>
                </c:pt>
                <c:pt idx="13">
                  <c:v>46025</c:v>
                </c:pt>
                <c:pt idx="14">
                  <c:v>46025</c:v>
                </c:pt>
                <c:pt idx="15">
                  <c:v>46026</c:v>
                </c:pt>
                <c:pt idx="16">
                  <c:v>46041</c:v>
                </c:pt>
                <c:pt idx="17">
                  <c:v>46056</c:v>
                </c:pt>
                <c:pt idx="18">
                  <c:v>46069</c:v>
                </c:pt>
                <c:pt idx="19">
                  <c:v>46078</c:v>
                </c:pt>
                <c:pt idx="20">
                  <c:v>46068</c:v>
                </c:pt>
                <c:pt idx="21">
                  <c:v>46081</c:v>
                </c:pt>
                <c:pt idx="22">
                  <c:v>46102</c:v>
                </c:pt>
                <c:pt idx="23">
                  <c:v>46081</c:v>
                </c:pt>
                <c:pt idx="24">
                  <c:v>46081</c:v>
                </c:pt>
                <c:pt idx="25">
                  <c:v>46145</c:v>
                </c:pt>
                <c:pt idx="26">
                  <c:v>46144</c:v>
                </c:pt>
                <c:pt idx="27">
                  <c:v>46145</c:v>
                </c:pt>
                <c:pt idx="28">
                  <c:v>46144</c:v>
                </c:pt>
                <c:pt idx="29">
                  <c:v>46151</c:v>
                </c:pt>
                <c:pt idx="30">
                  <c:v>46183</c:v>
                </c:pt>
              </c:numCache>
            </c:numRef>
          </c:val>
          <c:extLst>
            <c:ext xmlns:c16="http://schemas.microsoft.com/office/drawing/2014/chart" uri="{C3380CC4-5D6E-409C-BE32-E72D297353CC}">
              <c16:uniqueId val="{00000000-C4CA-4494-A0D5-02DDF5475677}"/>
            </c:ext>
          </c:extLst>
        </c:ser>
        <c:ser>
          <c:idx val="1"/>
          <c:order val="1"/>
          <c:tx>
            <c:strRef>
              <c:f>'Construction Project Timeline'!$F$8</c:f>
              <c:strCache>
                <c:ptCount val="1"/>
                <c:pt idx="0">
                  <c:v>DURATION in days</c:v>
                </c:pt>
              </c:strCache>
            </c:strRef>
          </c:tx>
          <c:spPr>
            <a:solidFill>
              <a:schemeClr val="tx2">
                <a:lumMod val="60000"/>
                <a:lumOff val="40000"/>
                <a:alpha val="79000"/>
              </a:schemeClr>
            </a:solidFill>
            <a:ln>
              <a:noFill/>
            </a:ln>
            <a:effectLst/>
          </c:spPr>
          <c:invertIfNegative val="0"/>
          <c:dPt>
            <c:idx val="0"/>
            <c:invertIfNegative val="0"/>
            <c:bubble3D val="0"/>
            <c:extLst>
              <c:ext xmlns:c16="http://schemas.microsoft.com/office/drawing/2014/chart" uri="{C3380CC4-5D6E-409C-BE32-E72D297353CC}">
                <c16:uniqueId val="{00000001-C4CA-4494-A0D5-02DDF5475677}"/>
              </c:ext>
            </c:extLst>
          </c:dPt>
          <c:dPt>
            <c:idx val="1"/>
            <c:invertIfNegative val="0"/>
            <c:bubble3D val="0"/>
            <c:extLst>
              <c:ext xmlns:c16="http://schemas.microsoft.com/office/drawing/2014/chart" uri="{C3380CC4-5D6E-409C-BE32-E72D297353CC}">
                <c16:uniqueId val="{00000002-C4CA-4494-A0D5-02DDF5475677}"/>
              </c:ext>
            </c:extLst>
          </c:dPt>
          <c:dPt>
            <c:idx val="2"/>
            <c:invertIfNegative val="0"/>
            <c:bubble3D val="0"/>
            <c:extLst>
              <c:ext xmlns:c16="http://schemas.microsoft.com/office/drawing/2014/chart" uri="{C3380CC4-5D6E-409C-BE32-E72D297353CC}">
                <c16:uniqueId val="{00000003-C4CA-4494-A0D5-02DDF5475677}"/>
              </c:ext>
            </c:extLst>
          </c:dPt>
          <c:dPt>
            <c:idx val="3"/>
            <c:invertIfNegative val="0"/>
            <c:bubble3D val="0"/>
            <c:extLst>
              <c:ext xmlns:c16="http://schemas.microsoft.com/office/drawing/2014/chart" uri="{C3380CC4-5D6E-409C-BE32-E72D297353CC}">
                <c16:uniqueId val="{00000004-C4CA-4494-A0D5-02DDF5475677}"/>
              </c:ext>
            </c:extLst>
          </c:dPt>
          <c:dPt>
            <c:idx val="4"/>
            <c:invertIfNegative val="0"/>
            <c:bubble3D val="0"/>
            <c:extLst>
              <c:ext xmlns:c16="http://schemas.microsoft.com/office/drawing/2014/chart" uri="{C3380CC4-5D6E-409C-BE32-E72D297353CC}">
                <c16:uniqueId val="{00000005-C4CA-4494-A0D5-02DDF5475677}"/>
              </c:ext>
            </c:extLst>
          </c:dPt>
          <c:dPt>
            <c:idx val="5"/>
            <c:invertIfNegative val="0"/>
            <c:bubble3D val="0"/>
            <c:extLst>
              <c:ext xmlns:c16="http://schemas.microsoft.com/office/drawing/2014/chart" uri="{C3380CC4-5D6E-409C-BE32-E72D297353CC}">
                <c16:uniqueId val="{00000006-C4CA-4494-A0D5-02DDF5475677}"/>
              </c:ext>
            </c:extLst>
          </c:dPt>
          <c:dPt>
            <c:idx val="6"/>
            <c:invertIfNegative val="0"/>
            <c:bubble3D val="0"/>
            <c:extLst>
              <c:ext xmlns:c16="http://schemas.microsoft.com/office/drawing/2014/chart" uri="{C3380CC4-5D6E-409C-BE32-E72D297353CC}">
                <c16:uniqueId val="{00000007-C4CA-4494-A0D5-02DDF5475677}"/>
              </c:ext>
            </c:extLst>
          </c:dPt>
          <c:dPt>
            <c:idx val="7"/>
            <c:invertIfNegative val="0"/>
            <c:bubble3D val="0"/>
            <c:extLst>
              <c:ext xmlns:c16="http://schemas.microsoft.com/office/drawing/2014/chart" uri="{C3380CC4-5D6E-409C-BE32-E72D297353CC}">
                <c16:uniqueId val="{00000008-C4CA-4494-A0D5-02DDF5475677}"/>
              </c:ext>
            </c:extLst>
          </c:dPt>
          <c:dPt>
            <c:idx val="8"/>
            <c:invertIfNegative val="0"/>
            <c:bubble3D val="0"/>
            <c:extLst>
              <c:ext xmlns:c16="http://schemas.microsoft.com/office/drawing/2014/chart" uri="{C3380CC4-5D6E-409C-BE32-E72D297353CC}">
                <c16:uniqueId val="{00000009-C4CA-4494-A0D5-02DDF5475677}"/>
              </c:ext>
            </c:extLst>
          </c:dPt>
          <c:dPt>
            <c:idx val="9"/>
            <c:invertIfNegative val="0"/>
            <c:bubble3D val="0"/>
            <c:extLst>
              <c:ext xmlns:c16="http://schemas.microsoft.com/office/drawing/2014/chart" uri="{C3380CC4-5D6E-409C-BE32-E72D297353CC}">
                <c16:uniqueId val="{0000000A-C4CA-4494-A0D5-02DDF5475677}"/>
              </c:ext>
            </c:extLst>
          </c:dPt>
          <c:dPt>
            <c:idx val="10"/>
            <c:invertIfNegative val="0"/>
            <c:bubble3D val="0"/>
            <c:extLst>
              <c:ext xmlns:c16="http://schemas.microsoft.com/office/drawing/2014/chart" uri="{C3380CC4-5D6E-409C-BE32-E72D297353CC}">
                <c16:uniqueId val="{0000000B-C4CA-4494-A0D5-02DDF5475677}"/>
              </c:ext>
            </c:extLst>
          </c:dPt>
          <c:dPt>
            <c:idx val="11"/>
            <c:invertIfNegative val="0"/>
            <c:bubble3D val="0"/>
            <c:extLst>
              <c:ext xmlns:c16="http://schemas.microsoft.com/office/drawing/2014/chart" uri="{C3380CC4-5D6E-409C-BE32-E72D297353CC}">
                <c16:uniqueId val="{0000000C-C4CA-4494-A0D5-02DDF5475677}"/>
              </c:ext>
            </c:extLst>
          </c:dPt>
          <c:dPt>
            <c:idx val="12"/>
            <c:invertIfNegative val="0"/>
            <c:bubble3D val="0"/>
            <c:extLst>
              <c:ext xmlns:c16="http://schemas.microsoft.com/office/drawing/2014/chart" uri="{C3380CC4-5D6E-409C-BE32-E72D297353CC}">
                <c16:uniqueId val="{0000000D-C4CA-4494-A0D5-02DDF5475677}"/>
              </c:ext>
            </c:extLst>
          </c:dPt>
          <c:dPt>
            <c:idx val="13"/>
            <c:invertIfNegative val="0"/>
            <c:bubble3D val="0"/>
            <c:extLst>
              <c:ext xmlns:c16="http://schemas.microsoft.com/office/drawing/2014/chart" uri="{C3380CC4-5D6E-409C-BE32-E72D297353CC}">
                <c16:uniqueId val="{0000000E-C4CA-4494-A0D5-02DDF5475677}"/>
              </c:ext>
            </c:extLst>
          </c:dPt>
          <c:dPt>
            <c:idx val="14"/>
            <c:invertIfNegative val="0"/>
            <c:bubble3D val="0"/>
            <c:extLst>
              <c:ext xmlns:c16="http://schemas.microsoft.com/office/drawing/2014/chart" uri="{C3380CC4-5D6E-409C-BE32-E72D297353CC}">
                <c16:uniqueId val="{0000000F-C4CA-4494-A0D5-02DDF5475677}"/>
              </c:ext>
            </c:extLst>
          </c:dPt>
          <c:dPt>
            <c:idx val="15"/>
            <c:invertIfNegative val="0"/>
            <c:bubble3D val="0"/>
            <c:extLst>
              <c:ext xmlns:c16="http://schemas.microsoft.com/office/drawing/2014/chart" uri="{C3380CC4-5D6E-409C-BE32-E72D297353CC}">
                <c16:uniqueId val="{00000010-C4CA-4494-A0D5-02DDF5475677}"/>
              </c:ext>
            </c:extLst>
          </c:dPt>
          <c:dPt>
            <c:idx val="16"/>
            <c:invertIfNegative val="0"/>
            <c:bubble3D val="0"/>
            <c:extLst>
              <c:ext xmlns:c16="http://schemas.microsoft.com/office/drawing/2014/chart" uri="{C3380CC4-5D6E-409C-BE32-E72D297353CC}">
                <c16:uniqueId val="{00000011-C4CA-4494-A0D5-02DDF5475677}"/>
              </c:ext>
            </c:extLst>
          </c:dPt>
          <c:dPt>
            <c:idx val="17"/>
            <c:invertIfNegative val="0"/>
            <c:bubble3D val="0"/>
            <c:extLst>
              <c:ext xmlns:c16="http://schemas.microsoft.com/office/drawing/2014/chart" uri="{C3380CC4-5D6E-409C-BE32-E72D297353CC}">
                <c16:uniqueId val="{00000012-C4CA-4494-A0D5-02DDF5475677}"/>
              </c:ext>
            </c:extLst>
          </c:dPt>
          <c:dPt>
            <c:idx val="18"/>
            <c:invertIfNegative val="0"/>
            <c:bubble3D val="0"/>
            <c:extLst>
              <c:ext xmlns:c16="http://schemas.microsoft.com/office/drawing/2014/chart" uri="{C3380CC4-5D6E-409C-BE32-E72D297353CC}">
                <c16:uniqueId val="{00000013-C4CA-4494-A0D5-02DDF5475677}"/>
              </c:ext>
            </c:extLst>
          </c:dPt>
          <c:dPt>
            <c:idx val="19"/>
            <c:invertIfNegative val="0"/>
            <c:bubble3D val="0"/>
            <c:extLst>
              <c:ext xmlns:c16="http://schemas.microsoft.com/office/drawing/2014/chart" uri="{C3380CC4-5D6E-409C-BE32-E72D297353CC}">
                <c16:uniqueId val="{00000014-C4CA-4494-A0D5-02DDF5475677}"/>
              </c:ext>
            </c:extLst>
          </c:dPt>
          <c:dPt>
            <c:idx val="20"/>
            <c:invertIfNegative val="0"/>
            <c:bubble3D val="0"/>
            <c:extLst>
              <c:ext xmlns:c16="http://schemas.microsoft.com/office/drawing/2014/chart" uri="{C3380CC4-5D6E-409C-BE32-E72D297353CC}">
                <c16:uniqueId val="{00000015-C4CA-4494-A0D5-02DDF5475677}"/>
              </c:ext>
            </c:extLst>
          </c:dPt>
          <c:dPt>
            <c:idx val="21"/>
            <c:invertIfNegative val="0"/>
            <c:bubble3D val="0"/>
            <c:extLst>
              <c:ext xmlns:c16="http://schemas.microsoft.com/office/drawing/2014/chart" uri="{C3380CC4-5D6E-409C-BE32-E72D297353CC}">
                <c16:uniqueId val="{00000016-C4CA-4494-A0D5-02DDF5475677}"/>
              </c:ext>
            </c:extLst>
          </c:dPt>
          <c:dPt>
            <c:idx val="22"/>
            <c:invertIfNegative val="0"/>
            <c:bubble3D val="0"/>
            <c:extLst>
              <c:ext xmlns:c16="http://schemas.microsoft.com/office/drawing/2014/chart" uri="{C3380CC4-5D6E-409C-BE32-E72D297353CC}">
                <c16:uniqueId val="{00000017-C4CA-4494-A0D5-02DDF5475677}"/>
              </c:ext>
            </c:extLst>
          </c:dPt>
          <c:dPt>
            <c:idx val="23"/>
            <c:invertIfNegative val="0"/>
            <c:bubble3D val="0"/>
            <c:extLst>
              <c:ext xmlns:c16="http://schemas.microsoft.com/office/drawing/2014/chart" uri="{C3380CC4-5D6E-409C-BE32-E72D297353CC}">
                <c16:uniqueId val="{00000018-C4CA-4494-A0D5-02DDF5475677}"/>
              </c:ext>
            </c:extLst>
          </c:dPt>
          <c:dPt>
            <c:idx val="24"/>
            <c:invertIfNegative val="0"/>
            <c:bubble3D val="0"/>
            <c:extLst>
              <c:ext xmlns:c16="http://schemas.microsoft.com/office/drawing/2014/chart" uri="{C3380CC4-5D6E-409C-BE32-E72D297353CC}">
                <c16:uniqueId val="{00000019-C4CA-4494-A0D5-02DDF5475677}"/>
              </c:ext>
            </c:extLst>
          </c:dPt>
          <c:dPt>
            <c:idx val="25"/>
            <c:invertIfNegative val="0"/>
            <c:bubble3D val="0"/>
            <c:extLst>
              <c:ext xmlns:c16="http://schemas.microsoft.com/office/drawing/2014/chart" uri="{C3380CC4-5D6E-409C-BE32-E72D297353CC}">
                <c16:uniqueId val="{0000001A-C4CA-4494-A0D5-02DDF5475677}"/>
              </c:ext>
            </c:extLst>
          </c:dPt>
          <c:dPt>
            <c:idx val="26"/>
            <c:invertIfNegative val="0"/>
            <c:bubble3D val="0"/>
            <c:extLst>
              <c:ext xmlns:c16="http://schemas.microsoft.com/office/drawing/2014/chart" uri="{C3380CC4-5D6E-409C-BE32-E72D297353CC}">
                <c16:uniqueId val="{0000001B-C4CA-4494-A0D5-02DDF5475677}"/>
              </c:ext>
            </c:extLst>
          </c:dPt>
          <c:dPt>
            <c:idx val="27"/>
            <c:invertIfNegative val="0"/>
            <c:bubble3D val="0"/>
            <c:extLst>
              <c:ext xmlns:c16="http://schemas.microsoft.com/office/drawing/2014/chart" uri="{C3380CC4-5D6E-409C-BE32-E72D297353CC}">
                <c16:uniqueId val="{0000001C-C4CA-4494-A0D5-02DDF5475677}"/>
              </c:ext>
            </c:extLst>
          </c:dPt>
          <c:dPt>
            <c:idx val="28"/>
            <c:invertIfNegative val="0"/>
            <c:bubble3D val="0"/>
            <c:extLst>
              <c:ext xmlns:c16="http://schemas.microsoft.com/office/drawing/2014/chart" uri="{C3380CC4-5D6E-409C-BE32-E72D297353CC}">
                <c16:uniqueId val="{0000001D-C4CA-4494-A0D5-02DDF5475677}"/>
              </c:ext>
            </c:extLst>
          </c:dPt>
          <c:dPt>
            <c:idx val="29"/>
            <c:invertIfNegative val="0"/>
            <c:bubble3D val="0"/>
            <c:extLst>
              <c:ext xmlns:c16="http://schemas.microsoft.com/office/drawing/2014/chart" uri="{C3380CC4-5D6E-409C-BE32-E72D297353CC}">
                <c16:uniqueId val="{0000001E-C4CA-4494-A0D5-02DDF5475677}"/>
              </c:ext>
            </c:extLst>
          </c:dPt>
          <c:dPt>
            <c:idx val="30"/>
            <c:invertIfNegative val="0"/>
            <c:bubble3D val="0"/>
            <c:extLst>
              <c:ext xmlns:c16="http://schemas.microsoft.com/office/drawing/2014/chart" uri="{C3380CC4-5D6E-409C-BE32-E72D297353CC}">
                <c16:uniqueId val="{0000001F-C4CA-4494-A0D5-02DDF5475677}"/>
              </c:ext>
            </c:extLst>
          </c:dPt>
          <c:cat>
            <c:strRef>
              <c:f>'Construction Project Timeline'!$B$9:$B$39</c:f>
              <c:strCache>
                <c:ptCount val="31"/>
                <c:pt idx="0">
                  <c:v>Planning</c:v>
                </c:pt>
                <c:pt idx="1">
                  <c:v>Demo Prep</c:v>
                </c:pt>
                <c:pt idx="2">
                  <c:v>Excavation</c:v>
                </c:pt>
                <c:pt idx="3">
                  <c:v>Concrete</c:v>
                </c:pt>
                <c:pt idx="4">
                  <c:v>Pre backfill</c:v>
                </c:pt>
                <c:pt idx="5">
                  <c:v>Framing</c:v>
                </c:pt>
                <c:pt idx="6">
                  <c:v>Roof</c:v>
                </c:pt>
                <c:pt idx="7">
                  <c:v>Plumbing</c:v>
                </c:pt>
                <c:pt idx="8">
                  <c:v>Windows</c:v>
                </c:pt>
                <c:pt idx="9">
                  <c:v>HVAC</c:v>
                </c:pt>
                <c:pt idx="10">
                  <c:v>Electrical</c:v>
                </c:pt>
                <c:pt idx="11">
                  <c:v>A/V</c:v>
                </c:pt>
                <c:pt idx="12">
                  <c:v>Insulation</c:v>
                </c:pt>
                <c:pt idx="13">
                  <c:v>Drywall</c:v>
                </c:pt>
                <c:pt idx="14">
                  <c:v>Exterior stone</c:v>
                </c:pt>
                <c:pt idx="15">
                  <c:v>Exterior case work</c:v>
                </c:pt>
                <c:pt idx="16">
                  <c:v>Hardwoods</c:v>
                </c:pt>
                <c:pt idx="17">
                  <c:v>Tile</c:v>
                </c:pt>
                <c:pt idx="18">
                  <c:v>Plumbing -hang sinks</c:v>
                </c:pt>
                <c:pt idx="19">
                  <c:v>Interior doors</c:v>
                </c:pt>
                <c:pt idx="20">
                  <c:v>Millwork</c:v>
                </c:pt>
                <c:pt idx="21">
                  <c:v>Interior painting</c:v>
                </c:pt>
                <c:pt idx="22">
                  <c:v>Stone Counters</c:v>
                </c:pt>
                <c:pt idx="23">
                  <c:v>Schedule Buffer</c:v>
                </c:pt>
                <c:pt idx="24">
                  <c:v>Decks</c:v>
                </c:pt>
                <c:pt idx="25">
                  <c:v>Interior doors- hang &amp; hardware</c:v>
                </c:pt>
                <c:pt idx="26">
                  <c:v>Plumbing</c:v>
                </c:pt>
                <c:pt idx="27">
                  <c:v>Electrical</c:v>
                </c:pt>
                <c:pt idx="28">
                  <c:v>FINAL Inspections</c:v>
                </c:pt>
                <c:pt idx="29">
                  <c:v>Wrap up</c:v>
                </c:pt>
                <c:pt idx="30">
                  <c:v>Complete</c:v>
                </c:pt>
              </c:strCache>
            </c:strRef>
          </c:cat>
          <c:val>
            <c:numRef>
              <c:f>'Construction Project Timeline'!$F$9:$F$39</c:f>
              <c:numCache>
                <c:formatCode>0</c:formatCode>
                <c:ptCount val="31"/>
                <c:pt idx="0">
                  <c:v>10</c:v>
                </c:pt>
                <c:pt idx="1">
                  <c:v>6</c:v>
                </c:pt>
                <c:pt idx="2">
                  <c:v>5</c:v>
                </c:pt>
                <c:pt idx="3">
                  <c:v>13</c:v>
                </c:pt>
                <c:pt idx="4">
                  <c:v>3</c:v>
                </c:pt>
                <c:pt idx="5">
                  <c:v>42</c:v>
                </c:pt>
                <c:pt idx="6">
                  <c:v>22</c:v>
                </c:pt>
                <c:pt idx="7">
                  <c:v>42</c:v>
                </c:pt>
                <c:pt idx="8">
                  <c:v>24</c:v>
                </c:pt>
                <c:pt idx="9">
                  <c:v>22</c:v>
                </c:pt>
                <c:pt idx="10">
                  <c:v>13</c:v>
                </c:pt>
                <c:pt idx="11">
                  <c:v>6</c:v>
                </c:pt>
                <c:pt idx="12">
                  <c:v>19</c:v>
                </c:pt>
                <c:pt idx="13">
                  <c:v>21</c:v>
                </c:pt>
                <c:pt idx="14">
                  <c:v>15</c:v>
                </c:pt>
                <c:pt idx="15">
                  <c:v>10</c:v>
                </c:pt>
                <c:pt idx="16">
                  <c:v>51</c:v>
                </c:pt>
                <c:pt idx="17">
                  <c:v>12</c:v>
                </c:pt>
                <c:pt idx="18">
                  <c:v>8</c:v>
                </c:pt>
                <c:pt idx="19">
                  <c:v>13</c:v>
                </c:pt>
                <c:pt idx="20">
                  <c:v>3</c:v>
                </c:pt>
                <c:pt idx="21">
                  <c:v>46</c:v>
                </c:pt>
                <c:pt idx="22">
                  <c:v>11</c:v>
                </c:pt>
                <c:pt idx="23">
                  <c:v>11</c:v>
                </c:pt>
                <c:pt idx="24">
                  <c:v>19</c:v>
                </c:pt>
                <c:pt idx="25">
                  <c:v>11</c:v>
                </c:pt>
                <c:pt idx="26">
                  <c:v>4</c:v>
                </c:pt>
                <c:pt idx="27">
                  <c:v>9</c:v>
                </c:pt>
                <c:pt idx="28">
                  <c:v>1</c:v>
                </c:pt>
                <c:pt idx="29">
                  <c:v>28</c:v>
                </c:pt>
                <c:pt idx="30">
                  <c:v>1</c:v>
                </c:pt>
              </c:numCache>
            </c:numRef>
          </c:val>
          <c:extLst>
            <c:ext xmlns:c16="http://schemas.microsoft.com/office/drawing/2014/chart" uri="{C3380CC4-5D6E-409C-BE32-E72D297353CC}">
              <c16:uniqueId val="{00000020-C4CA-4494-A0D5-02DDF5475677}"/>
            </c:ext>
          </c:extLst>
        </c:ser>
        <c:dLbls>
          <c:showLegendKey val="0"/>
          <c:showVal val="0"/>
          <c:showCatName val="0"/>
          <c:showSerName val="0"/>
          <c:showPercent val="0"/>
          <c:showBubbleSize val="0"/>
        </c:dLbls>
        <c:gapWidth val="25"/>
        <c:overlap val="100"/>
        <c:axId val="167641472"/>
        <c:axId val="167644544"/>
      </c:barChart>
      <c:catAx>
        <c:axId val="167641472"/>
        <c:scaling>
          <c:orientation val="maxMin"/>
        </c:scaling>
        <c:delete val="0"/>
        <c:axPos val="r"/>
        <c:numFmt formatCode="General" sourceLinked="0"/>
        <c:majorTickMark val="out"/>
        <c:minorTickMark val="none"/>
        <c:tickLblPos val="nextTo"/>
        <c:txPr>
          <a:bodyPr/>
          <a:lstStyle/>
          <a:p>
            <a:pPr>
              <a:defRPr sz="1000">
                <a:latin typeface="Century Gothic" panose="020B0502020202020204" pitchFamily="34" charset="0"/>
              </a:defRPr>
            </a:pPr>
            <a:endParaRPr lang="en-US"/>
          </a:p>
        </c:txPr>
        <c:crossAx val="167644544"/>
        <c:crosses val="max"/>
        <c:auto val="1"/>
        <c:lblAlgn val="ctr"/>
        <c:lblOffset val="100"/>
        <c:noMultiLvlLbl val="0"/>
      </c:catAx>
      <c:valAx>
        <c:axId val="167644544"/>
        <c:scaling>
          <c:orientation val="minMax"/>
          <c:max val="46190"/>
          <c:min val="45920"/>
        </c:scaling>
        <c:delete val="0"/>
        <c:axPos val="t"/>
        <c:majorGridlines>
          <c:spPr>
            <a:ln>
              <a:solidFill>
                <a:schemeClr val="bg1">
                  <a:lumMod val="75000"/>
                </a:schemeClr>
              </a:solidFill>
            </a:ln>
          </c:spPr>
        </c:majorGridlines>
        <c:numFmt formatCode="mm/dd" sourceLinked="1"/>
        <c:majorTickMark val="out"/>
        <c:minorTickMark val="none"/>
        <c:tickLblPos val="nextTo"/>
        <c:txPr>
          <a:bodyPr/>
          <a:lstStyle/>
          <a:p>
            <a:pPr>
              <a:defRPr sz="1000">
                <a:latin typeface="Century Gothic" panose="020B0502020202020204" pitchFamily="34" charset="0"/>
              </a:defRPr>
            </a:pPr>
            <a:endParaRPr lang="en-US"/>
          </a:p>
        </c:txPr>
        <c:crossAx val="167641472"/>
        <c:crosses val="autoZero"/>
        <c:crossBetween val="between"/>
        <c:majorUnit val="30"/>
        <c:minorUnit val="5"/>
      </c:valAx>
      <c:spPr>
        <a:noFill/>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17B2-1ED6-45C1-8E3B-26EE46C3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IFEANYI DANIEL PC</dc:creator>
  <cp:lastModifiedBy>HP</cp:lastModifiedBy>
  <cp:revision>5</cp:revision>
  <dcterms:created xsi:type="dcterms:W3CDTF">2020-04-16T10:30:00Z</dcterms:created>
  <dcterms:modified xsi:type="dcterms:W3CDTF">2020-04-16T12:24:00Z</dcterms:modified>
</cp:coreProperties>
</file>