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bookmarkStart w:id="0" w:name="_GoBack"/>
      <w:bookmarkEnd w:id="0"/>
      <w:r>
        <w:rPr>
          <w:b/>
          <w:sz w:val="36"/>
          <w:szCs w:val="36"/>
          <w:lang w:val="en-US"/>
        </w:rPr>
        <w:t>Obanewa tolulope</w:t>
      </w:r>
    </w:p>
    <w:p>
      <w:pPr>
        <w:pStyle w:val="style0"/>
        <w:rPr>
          <w:b/>
          <w:sz w:val="36"/>
          <w:szCs w:val="36"/>
        </w:rPr>
      </w:pPr>
      <w:r>
        <w:rPr>
          <w:b/>
          <w:sz w:val="36"/>
          <w:szCs w:val="36"/>
        </w:rPr>
        <w:t>18</w:t>
      </w:r>
      <w:r>
        <w:rPr>
          <w:b/>
          <w:sz w:val="36"/>
          <w:szCs w:val="36"/>
          <w:lang w:val="en-US"/>
        </w:rPr>
        <w:t>ENG</w:t>
      </w:r>
      <w:r>
        <w:rPr>
          <w:b/>
          <w:sz w:val="36"/>
          <w:szCs w:val="36"/>
          <w:lang w:val="en-US"/>
        </w:rPr>
        <w:t>06/048</w:t>
      </w:r>
    </w:p>
    <w:p>
      <w:pPr>
        <w:pStyle w:val="style0"/>
        <w:rPr>
          <w:b/>
          <w:sz w:val="36"/>
          <w:szCs w:val="36"/>
        </w:rPr>
      </w:pPr>
      <w:r>
        <w:rPr>
          <w:b/>
          <w:sz w:val="36"/>
          <w:szCs w:val="36"/>
          <w:lang w:val="en-US"/>
        </w:rPr>
        <w:t>Mechanical</w:t>
      </w:r>
      <w:r>
        <w:rPr>
          <w:b/>
          <w:sz w:val="36"/>
          <w:szCs w:val="36"/>
        </w:rPr>
        <w:t xml:space="preserve"> ENGINEERING</w:t>
      </w:r>
    </w:p>
    <w:p>
      <w:pPr>
        <w:pStyle w:val="style0"/>
        <w:rPr>
          <w:b/>
          <w:sz w:val="36"/>
          <w:szCs w:val="36"/>
        </w:rPr>
      </w:pPr>
      <w:r>
        <w:rPr>
          <w:b/>
          <w:sz w:val="36"/>
          <w:szCs w:val="36"/>
        </w:rPr>
        <w:t>ENG 284</w:t>
      </w:r>
    </w:p>
    <w:p>
      <w:pPr>
        <w:pStyle w:val="style0"/>
        <w:rPr>
          <w:b/>
          <w:sz w:val="36"/>
          <w:szCs w:val="36"/>
        </w:rPr>
      </w:pPr>
    </w:p>
    <w:p>
      <w:pPr>
        <w:pStyle w:val="style179"/>
        <w:numPr>
          <w:ilvl w:val="0"/>
          <w:numId w:val="1"/>
        </w:numPr>
        <w:rPr>
          <w:b/>
          <w:sz w:val="36"/>
          <w:szCs w:val="36"/>
        </w:rPr>
      </w:pPr>
      <w:r>
        <w:rPr>
          <w:sz w:val="32"/>
          <w:szCs w:val="32"/>
        </w:rPr>
        <w:t>The scope of work are as follows</w:t>
      </w:r>
    </w:p>
    <w:p>
      <w:pPr>
        <w:pStyle w:val="style179"/>
        <w:rPr>
          <w:sz w:val="32"/>
          <w:szCs w:val="32"/>
        </w:rPr>
      </w:pPr>
      <w:r>
        <w:rPr>
          <w:sz w:val="32"/>
          <w:szCs w:val="32"/>
        </w:rPr>
        <w:t>-</w:t>
      </w:r>
      <w:r>
        <w:rPr>
          <w:sz w:val="32"/>
          <w:szCs w:val="32"/>
        </w:rPr>
        <w:t>Project overview ;</w:t>
      </w:r>
      <w:r>
        <w:rPr>
          <w:sz w:val="32"/>
          <w:szCs w:val="32"/>
        </w:rPr>
        <w:t>The main objective is the rehabilitation of the alpha belgore hall</w:t>
      </w:r>
    </w:p>
    <w:p>
      <w:pPr>
        <w:pStyle w:val="style179"/>
        <w:rPr>
          <w:sz w:val="32"/>
          <w:szCs w:val="32"/>
        </w:rPr>
      </w:pPr>
      <w:r>
        <w:rPr>
          <w:sz w:val="32"/>
          <w:szCs w:val="32"/>
        </w:rPr>
        <w:t>-</w:t>
      </w:r>
      <w:r>
        <w:rPr>
          <w:sz w:val="32"/>
          <w:szCs w:val="32"/>
        </w:rPr>
        <w:t>Project scope; this contains the technical specifications and the budget allocation for the completion of the project</w:t>
      </w:r>
    </w:p>
    <w:p>
      <w:pPr>
        <w:pStyle w:val="style179"/>
        <w:rPr>
          <w:sz w:val="32"/>
          <w:szCs w:val="32"/>
        </w:rPr>
      </w:pPr>
      <w:r>
        <w:rPr>
          <w:sz w:val="32"/>
          <w:szCs w:val="32"/>
        </w:rPr>
        <w:t>-Project deliverables; the objective is to ensure the rehabilitation of the alpha belgore hall from top to bottom beginning with the roof top. The top needs to be reformed due to its current state of appearance. The walls are to be reformed due to its states of appearance has brought discomfort to the school.</w:t>
      </w:r>
    </w:p>
    <w:p>
      <w:pPr>
        <w:pStyle w:val="style179"/>
        <w:rPr>
          <w:sz w:val="32"/>
          <w:szCs w:val="32"/>
        </w:rPr>
      </w:pPr>
      <w:r>
        <w:rPr>
          <w:sz w:val="32"/>
          <w:szCs w:val="32"/>
        </w:rPr>
        <w:t>-Project schedule; the project is to last for a minimum of 8months but taking other problems that might come it should last for about a year.</w:t>
      </w:r>
    </w:p>
    <w:p>
      <w:pPr>
        <w:pStyle w:val="style179"/>
        <w:rPr>
          <w:sz w:val="32"/>
          <w:szCs w:val="32"/>
        </w:rPr>
      </w:pPr>
      <w:r>
        <w:rPr>
          <w:sz w:val="32"/>
          <w:szCs w:val="32"/>
        </w:rPr>
        <w:t>-Project management</w:t>
      </w:r>
      <w:r>
        <w:rPr>
          <w:sz w:val="32"/>
          <w:szCs w:val="32"/>
        </w:rPr>
        <w:t>; the project administrators are to make sure the projects are carried out effectively and ensure the payments of the workers when due.</w:t>
      </w:r>
    </w:p>
    <w:p>
      <w:pPr>
        <w:pStyle w:val="style179"/>
        <w:rPr>
          <w:sz w:val="32"/>
          <w:szCs w:val="32"/>
        </w:rPr>
      </w:pPr>
      <w:r>
        <w:rPr>
          <w:sz w:val="32"/>
          <w:szCs w:val="32"/>
        </w:rPr>
        <w:t xml:space="preserve"> </w:t>
      </w:r>
    </w:p>
    <w:p>
      <w:pPr>
        <w:pStyle w:val="style0"/>
        <w:rPr>
          <w:sz w:val="32"/>
          <w:szCs w:val="32"/>
        </w:rPr>
      </w:pPr>
    </w:p>
    <w:p>
      <w:pPr>
        <w:pStyle w:val="style179"/>
        <w:rPr>
          <w:sz w:val="32"/>
          <w:szCs w:val="32"/>
        </w:rPr>
      </w:pPr>
    </w:p>
    <w:p>
      <w:pPr>
        <w:pStyle w:val="style179"/>
        <w:rPr>
          <w:sz w:val="32"/>
          <w:szCs w:val="32"/>
        </w:rPr>
      </w:pPr>
      <w:r>
        <w:rPr>
          <w:sz w:val="32"/>
          <w:szCs w:val="32"/>
        </w:rPr>
        <w:t xml:space="preserve"> </w:t>
      </w:r>
    </w:p>
    <w:p>
      <w:pPr>
        <w:pStyle w:val="style0"/>
        <w:rPr>
          <w:b/>
          <w:sz w:val="36"/>
          <w:szCs w:val="36"/>
        </w:rPr>
      </w:pPr>
      <w:r>
        <w:rPr>
          <w:b/>
          <w:sz w:val="36"/>
          <w:szCs w:val="36"/>
        </w:rPr>
        <w:t xml:space="preserve">          </w:t>
      </w:r>
      <w:r>
        <w:rPr>
          <w:b/>
          <w:sz w:val="36"/>
          <w:szCs w:val="36"/>
        </w:rPr>
        <w:t>2</w:t>
      </w:r>
      <w:r>
        <w:rPr>
          <w:b/>
          <w:sz w:val="36"/>
          <w:szCs w:val="36"/>
        </w:rPr>
        <w:t xml:space="preserve">               </w:t>
      </w:r>
      <w:r>
        <w:rPr>
          <w:noProof/>
        </w:rPr>
        <w:drawing>
          <wp:inline distL="0" distT="0" distB="0" distR="0">
            <wp:extent cx="5943600" cy="3068838"/>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3068838"/>
                    </a:xfrm>
                    <a:prstGeom prst="rect"/>
                    <a:ln>
                      <a:noFill/>
                    </a:ln>
                  </pic:spPr>
                </pic:pic>
              </a:graphicData>
            </a:graphic>
          </wp:inline>
        </w:drawing>
      </w:r>
      <w:r>
        <w:rPr>
          <w:b/>
          <w:sz w:val="36"/>
          <w:szCs w:val="36"/>
        </w:rPr>
        <w:t xml:space="preserve">     </w:t>
      </w:r>
    </w:p>
    <w:p>
      <w:pPr>
        <w:pStyle w:val="style0"/>
        <w:rPr>
          <w:b/>
          <w:sz w:val="36"/>
          <w:szCs w:val="36"/>
        </w:rPr>
      </w:pPr>
      <w:r>
        <w:rPr>
          <w:b/>
          <w:sz w:val="36"/>
          <w:szCs w:val="36"/>
        </w:rPr>
        <w:t xml:space="preserve">           </w:t>
      </w:r>
    </w:p>
    <w:p>
      <w:pPr>
        <w:pStyle w:val="style0"/>
        <w:rPr>
          <w:b/>
          <w:sz w:val="36"/>
          <w:szCs w:val="36"/>
        </w:rPr>
      </w:pPr>
    </w:p>
    <w:p>
      <w:pPr>
        <w:pStyle w:val="style179"/>
        <w:rPr>
          <w:sz w:val="32"/>
          <w:szCs w:val="32"/>
        </w:rPr>
      </w:pPr>
      <w:r>
        <w:rPr>
          <w:sz w:val="32"/>
          <w:szCs w:val="32"/>
        </w:rPr>
        <w:t>3 – Cement</w:t>
      </w:r>
    </w:p>
    <w:p>
      <w:pPr>
        <w:pStyle w:val="style179"/>
        <w:numPr>
          <w:ilvl w:val="0"/>
          <w:numId w:val="3"/>
        </w:numPr>
        <w:rPr>
          <w:sz w:val="32"/>
          <w:szCs w:val="32"/>
        </w:rPr>
      </w:pPr>
      <w:r>
        <w:rPr>
          <w:sz w:val="32"/>
          <w:szCs w:val="32"/>
        </w:rPr>
        <w:t>Blocks</w:t>
      </w:r>
    </w:p>
    <w:p>
      <w:pPr>
        <w:pStyle w:val="style179"/>
        <w:numPr>
          <w:ilvl w:val="0"/>
          <w:numId w:val="3"/>
        </w:numPr>
        <w:rPr>
          <w:sz w:val="32"/>
          <w:szCs w:val="32"/>
        </w:rPr>
      </w:pPr>
      <w:r>
        <w:rPr>
          <w:sz w:val="32"/>
          <w:szCs w:val="32"/>
        </w:rPr>
        <w:t>Mixer</w:t>
      </w:r>
    </w:p>
    <w:p>
      <w:pPr>
        <w:pStyle w:val="style179"/>
        <w:numPr>
          <w:ilvl w:val="0"/>
          <w:numId w:val="3"/>
        </w:numPr>
        <w:rPr>
          <w:sz w:val="32"/>
          <w:szCs w:val="32"/>
        </w:rPr>
      </w:pPr>
      <w:r>
        <w:rPr>
          <w:sz w:val="32"/>
          <w:szCs w:val="32"/>
        </w:rPr>
        <w:t>Building tools</w:t>
      </w:r>
    </w:p>
    <w:p>
      <w:pPr>
        <w:pStyle w:val="style179"/>
        <w:ind w:left="1080"/>
        <w:rPr>
          <w:sz w:val="32"/>
          <w:szCs w:val="32"/>
          <w:u w:val="single"/>
        </w:rPr>
      </w:pPr>
      <w:r>
        <w:rPr>
          <w:sz w:val="32"/>
          <w:szCs w:val="32"/>
          <w:u w:val="single"/>
        </w:rPr>
        <w:t>Project teams</w:t>
      </w:r>
    </w:p>
    <w:p>
      <w:pPr>
        <w:pStyle w:val="style179"/>
        <w:ind w:left="1080"/>
        <w:rPr>
          <w:sz w:val="32"/>
          <w:szCs w:val="32"/>
        </w:rPr>
      </w:pPr>
      <w:r>
        <w:rPr>
          <w:sz w:val="32"/>
          <w:szCs w:val="32"/>
        </w:rPr>
        <w:t>The engineer(civil)</w:t>
      </w:r>
    </w:p>
    <w:p>
      <w:pPr>
        <w:pStyle w:val="style179"/>
        <w:ind w:left="1080"/>
        <w:rPr>
          <w:sz w:val="32"/>
          <w:szCs w:val="32"/>
        </w:rPr>
      </w:pPr>
      <w:r>
        <w:rPr>
          <w:sz w:val="32"/>
          <w:szCs w:val="32"/>
        </w:rPr>
        <w:t xml:space="preserve">The architect </w:t>
      </w:r>
    </w:p>
    <w:p>
      <w:pPr>
        <w:pStyle w:val="style179"/>
        <w:ind w:left="1080"/>
        <w:rPr>
          <w:sz w:val="32"/>
          <w:szCs w:val="32"/>
        </w:rPr>
      </w:pPr>
      <w:r>
        <w:rPr>
          <w:sz w:val="32"/>
          <w:szCs w:val="32"/>
        </w:rPr>
        <w:t>The workers</w:t>
      </w:r>
    </w:p>
    <w:p>
      <w:pPr>
        <w:pStyle w:val="style179"/>
        <w:ind w:left="1080"/>
        <w:rPr>
          <w:sz w:val="32"/>
          <w:szCs w:val="32"/>
        </w:rPr>
      </w:pPr>
      <w:r>
        <w:rPr>
          <w:sz w:val="32"/>
          <w:szCs w:val="32"/>
        </w:rPr>
        <w:t>The tradesman</w:t>
      </w:r>
    </w:p>
    <w:p>
      <w:pPr>
        <w:pStyle w:val="style179"/>
        <w:ind w:left="1080"/>
        <w:rPr>
          <w:sz w:val="32"/>
          <w:szCs w:val="32"/>
        </w:rPr>
      </w:pPr>
    </w:p>
    <w:p>
      <w:pPr>
        <w:pStyle w:val="style179"/>
        <w:ind w:left="1080"/>
        <w:rPr>
          <w:sz w:val="32"/>
          <w:szCs w:val="32"/>
        </w:rPr>
      </w:pPr>
      <w:r>
        <w:rPr>
          <w:sz w:val="32"/>
          <w:szCs w:val="32"/>
        </w:rPr>
        <w:t>4. the site was secured to prevent people from coming close to the construction site so as to avoid dangers from occurring and to give room for the workers to do their job.</w:t>
      </w:r>
    </w:p>
    <w:p>
      <w:pPr>
        <w:pStyle w:val="style179"/>
        <w:ind w:left="1080"/>
        <w:rPr>
          <w:sz w:val="32"/>
          <w:szCs w:val="32"/>
        </w:rPr>
      </w:pPr>
      <w:r>
        <w:rPr>
          <w:sz w:val="32"/>
          <w:szCs w:val="32"/>
        </w:rPr>
        <w:t>5</w:t>
      </w:r>
    </w:p>
    <w:tbl>
      <w:tblPr>
        <w:tblStyle w:val="style154"/>
        <w:tblW w:w="0" w:type="auto"/>
        <w:tblInd w:w="1080" w:type="dxa"/>
        <w:tblLook w:val="04A0" w:firstRow="1" w:lastRow="0" w:firstColumn="1" w:lastColumn="0" w:noHBand="0" w:noVBand="1"/>
      </w:tblPr>
      <w:tblGrid>
        <w:gridCol w:w="4294"/>
        <w:gridCol w:w="4202"/>
      </w:tblGrid>
      <w:tr>
        <w:trPr/>
        <w:tc>
          <w:tcPr>
            <w:tcW w:w="4788" w:type="dxa"/>
            <w:tcBorders/>
          </w:tcPr>
          <w:p>
            <w:pPr>
              <w:pStyle w:val="style179"/>
              <w:ind w:left="0"/>
              <w:rPr>
                <w:sz w:val="32"/>
                <w:szCs w:val="32"/>
              </w:rPr>
            </w:pPr>
            <w:r>
              <w:rPr>
                <w:sz w:val="32"/>
                <w:szCs w:val="32"/>
              </w:rPr>
              <w:t>The projections</w:t>
            </w:r>
          </w:p>
        </w:tc>
        <w:tc>
          <w:tcPr>
            <w:tcW w:w="4788" w:type="dxa"/>
            <w:tcBorders/>
          </w:tcPr>
          <w:p>
            <w:pPr>
              <w:pStyle w:val="style179"/>
              <w:ind w:left="0"/>
              <w:rPr>
                <w:sz w:val="32"/>
                <w:szCs w:val="32"/>
              </w:rPr>
            </w:pPr>
            <w:r>
              <w:rPr>
                <w:sz w:val="32"/>
                <w:szCs w:val="32"/>
              </w:rPr>
              <w:t>Cost</w:t>
            </w:r>
          </w:p>
        </w:tc>
      </w:tr>
      <w:tr>
        <w:tblPrEx/>
        <w:trPr/>
        <w:tc>
          <w:tcPr>
            <w:tcW w:w="4788" w:type="dxa"/>
            <w:tcBorders/>
          </w:tcPr>
          <w:p>
            <w:pPr>
              <w:pStyle w:val="style179"/>
              <w:ind w:left="0"/>
              <w:rPr>
                <w:sz w:val="32"/>
                <w:szCs w:val="32"/>
              </w:rPr>
            </w:pPr>
            <w:r>
              <w:rPr>
                <w:sz w:val="32"/>
                <w:szCs w:val="32"/>
              </w:rPr>
              <w:t>At 10%</w:t>
            </w:r>
          </w:p>
        </w:tc>
        <w:tc>
          <w:tcPr>
            <w:tcW w:w="4788" w:type="dxa"/>
            <w:tcBorders/>
          </w:tcPr>
          <w:p>
            <w:pPr>
              <w:pStyle w:val="style179"/>
              <w:ind w:left="0"/>
              <w:rPr>
                <w:sz w:val="32"/>
                <w:szCs w:val="32"/>
              </w:rPr>
            </w:pPr>
            <w:r>
              <w:rPr>
                <w:sz w:val="32"/>
                <w:szCs w:val="32"/>
              </w:rPr>
              <w:t>5 million naira</w:t>
            </w:r>
          </w:p>
        </w:tc>
      </w:tr>
      <w:tr>
        <w:tblPrEx/>
        <w:trPr/>
        <w:tc>
          <w:tcPr>
            <w:tcW w:w="4788" w:type="dxa"/>
            <w:tcBorders/>
          </w:tcPr>
          <w:p>
            <w:pPr>
              <w:pStyle w:val="style179"/>
              <w:ind w:left="0"/>
              <w:rPr>
                <w:sz w:val="32"/>
                <w:szCs w:val="32"/>
              </w:rPr>
            </w:pPr>
            <w:r>
              <w:rPr>
                <w:sz w:val="32"/>
                <w:szCs w:val="32"/>
              </w:rPr>
              <w:t>At 15%</w:t>
            </w:r>
          </w:p>
        </w:tc>
        <w:tc>
          <w:tcPr>
            <w:tcW w:w="4788" w:type="dxa"/>
            <w:tcBorders/>
          </w:tcPr>
          <w:p>
            <w:pPr>
              <w:pStyle w:val="style179"/>
              <w:ind w:left="0"/>
              <w:rPr>
                <w:sz w:val="32"/>
                <w:szCs w:val="32"/>
              </w:rPr>
            </w:pPr>
            <w:r>
              <w:rPr>
                <w:sz w:val="32"/>
                <w:szCs w:val="32"/>
              </w:rPr>
              <w:t>11 million naira</w:t>
            </w:r>
          </w:p>
        </w:tc>
      </w:tr>
      <w:tr>
        <w:tblPrEx/>
        <w:trPr/>
        <w:tc>
          <w:tcPr>
            <w:tcW w:w="4788" w:type="dxa"/>
            <w:tcBorders/>
          </w:tcPr>
          <w:p>
            <w:pPr>
              <w:pStyle w:val="style179"/>
              <w:ind w:left="0"/>
              <w:rPr>
                <w:sz w:val="32"/>
                <w:szCs w:val="32"/>
              </w:rPr>
            </w:pPr>
            <w:r>
              <w:rPr>
                <w:sz w:val="32"/>
                <w:szCs w:val="32"/>
              </w:rPr>
              <w:t>At 5%</w:t>
            </w:r>
          </w:p>
        </w:tc>
        <w:tc>
          <w:tcPr>
            <w:tcW w:w="4788" w:type="dxa"/>
            <w:tcBorders/>
          </w:tcPr>
          <w:p>
            <w:pPr>
              <w:pStyle w:val="style179"/>
              <w:ind w:left="0"/>
              <w:rPr>
                <w:sz w:val="32"/>
                <w:szCs w:val="32"/>
              </w:rPr>
            </w:pPr>
            <w:r>
              <w:rPr>
                <w:sz w:val="32"/>
                <w:szCs w:val="32"/>
              </w:rPr>
              <w:t>1 million naira</w:t>
            </w:r>
          </w:p>
        </w:tc>
      </w:tr>
      <w:tr>
        <w:tblPrEx/>
        <w:trPr/>
        <w:tc>
          <w:tcPr>
            <w:tcW w:w="4788" w:type="dxa"/>
            <w:tcBorders/>
          </w:tcPr>
          <w:p>
            <w:pPr>
              <w:pStyle w:val="style179"/>
              <w:ind w:left="0"/>
              <w:rPr>
                <w:sz w:val="32"/>
                <w:szCs w:val="32"/>
              </w:rPr>
            </w:pPr>
            <w:r>
              <w:rPr>
                <w:sz w:val="32"/>
                <w:szCs w:val="32"/>
              </w:rPr>
              <w:t>At 12%</w:t>
            </w:r>
          </w:p>
        </w:tc>
        <w:tc>
          <w:tcPr>
            <w:tcW w:w="4788" w:type="dxa"/>
            <w:tcBorders/>
          </w:tcPr>
          <w:p>
            <w:pPr>
              <w:pStyle w:val="style179"/>
              <w:ind w:left="0"/>
              <w:rPr>
                <w:sz w:val="32"/>
                <w:szCs w:val="32"/>
              </w:rPr>
            </w:pPr>
            <w:r>
              <w:rPr>
                <w:sz w:val="32"/>
                <w:szCs w:val="32"/>
              </w:rPr>
              <w:t>15 million naira</w:t>
            </w:r>
          </w:p>
        </w:tc>
      </w:tr>
      <w:tr>
        <w:tblPrEx/>
        <w:trPr/>
        <w:tc>
          <w:tcPr>
            <w:tcW w:w="4788" w:type="dxa"/>
            <w:tcBorders/>
          </w:tcPr>
          <w:p>
            <w:pPr>
              <w:pStyle w:val="style179"/>
              <w:ind w:left="0"/>
              <w:rPr>
                <w:sz w:val="32"/>
                <w:szCs w:val="32"/>
              </w:rPr>
            </w:pPr>
            <w:r>
              <w:rPr>
                <w:sz w:val="32"/>
                <w:szCs w:val="32"/>
              </w:rPr>
              <w:t>At 20%</w:t>
            </w:r>
          </w:p>
        </w:tc>
        <w:tc>
          <w:tcPr>
            <w:tcW w:w="4788" w:type="dxa"/>
            <w:tcBorders/>
          </w:tcPr>
          <w:p>
            <w:pPr>
              <w:pStyle w:val="style179"/>
              <w:ind w:left="0"/>
              <w:rPr>
                <w:sz w:val="32"/>
                <w:szCs w:val="32"/>
              </w:rPr>
            </w:pPr>
            <w:r>
              <w:rPr>
                <w:sz w:val="32"/>
                <w:szCs w:val="32"/>
              </w:rPr>
              <w:t>22 million naira</w:t>
            </w:r>
          </w:p>
        </w:tc>
      </w:tr>
    </w:tbl>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0"/>
        <w:rPr>
          <w:sz w:val="32"/>
          <w:szCs w:val="32"/>
        </w:rPr>
      </w:pPr>
      <w:r>
        <w:rPr>
          <w:sz w:val="32"/>
          <w:szCs w:val="32"/>
        </w:rPr>
        <w:t>6</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179"/>
              <w:ind w:left="0"/>
              <w:rPr>
                <w:sz w:val="32"/>
                <w:szCs w:val="32"/>
              </w:rPr>
            </w:pPr>
            <w:r>
              <w:rPr>
                <w:sz w:val="32"/>
                <w:szCs w:val="32"/>
              </w:rPr>
              <w:t xml:space="preserve">Mobilization </w:t>
            </w:r>
          </w:p>
        </w:tc>
        <w:tc>
          <w:tcPr>
            <w:tcW w:w="4788" w:type="dxa"/>
            <w:tcBorders/>
          </w:tcPr>
          <w:p>
            <w:pPr>
              <w:pStyle w:val="style179"/>
              <w:ind w:left="0"/>
              <w:rPr>
                <w:sz w:val="32"/>
                <w:szCs w:val="32"/>
              </w:rPr>
            </w:pPr>
            <w:r>
              <w:rPr>
                <w:sz w:val="32"/>
                <w:szCs w:val="32"/>
              </w:rPr>
              <w:t>20 million naira</w:t>
            </w:r>
          </w:p>
        </w:tc>
      </w:tr>
      <w:tr>
        <w:tblPrEx/>
        <w:trPr/>
        <w:tc>
          <w:tcPr>
            <w:tcW w:w="4788" w:type="dxa"/>
            <w:tcBorders/>
          </w:tcPr>
          <w:p>
            <w:pPr>
              <w:pStyle w:val="style179"/>
              <w:ind w:left="0"/>
              <w:rPr>
                <w:sz w:val="32"/>
                <w:szCs w:val="32"/>
              </w:rPr>
            </w:pPr>
            <w:r>
              <w:rPr>
                <w:sz w:val="32"/>
                <w:szCs w:val="32"/>
              </w:rPr>
              <w:t>Completion</w:t>
            </w:r>
          </w:p>
        </w:tc>
        <w:tc>
          <w:tcPr>
            <w:tcW w:w="4788" w:type="dxa"/>
            <w:tcBorders/>
          </w:tcPr>
          <w:p>
            <w:pPr>
              <w:pStyle w:val="style179"/>
              <w:ind w:left="0"/>
              <w:rPr>
                <w:sz w:val="32"/>
                <w:szCs w:val="32"/>
              </w:rPr>
            </w:pPr>
            <w:r>
              <w:rPr>
                <w:sz w:val="32"/>
                <w:szCs w:val="32"/>
              </w:rPr>
              <w:t>15 million naira</w:t>
            </w:r>
          </w:p>
        </w:tc>
      </w:tr>
      <w:tr>
        <w:tblPrEx/>
        <w:trPr/>
        <w:tc>
          <w:tcPr>
            <w:tcW w:w="4788" w:type="dxa"/>
            <w:tcBorders/>
          </w:tcPr>
          <w:p>
            <w:pPr>
              <w:pStyle w:val="style179"/>
              <w:ind w:left="0"/>
              <w:rPr>
                <w:sz w:val="32"/>
                <w:szCs w:val="32"/>
              </w:rPr>
            </w:pPr>
            <w:r>
              <w:rPr>
                <w:sz w:val="32"/>
                <w:szCs w:val="32"/>
              </w:rPr>
              <w:t>Completion and hand over</w:t>
            </w:r>
          </w:p>
        </w:tc>
        <w:tc>
          <w:tcPr>
            <w:tcW w:w="4788" w:type="dxa"/>
            <w:tcBorders/>
          </w:tcPr>
          <w:p>
            <w:pPr>
              <w:pStyle w:val="style179"/>
              <w:ind w:left="0"/>
              <w:rPr>
                <w:sz w:val="32"/>
                <w:szCs w:val="32"/>
              </w:rPr>
            </w:pPr>
            <w:r>
              <w:rPr>
                <w:sz w:val="32"/>
                <w:szCs w:val="32"/>
              </w:rPr>
              <w:t>10 million naira</w:t>
            </w:r>
          </w:p>
        </w:tc>
      </w:tr>
      <w:tr>
        <w:tblPrEx/>
        <w:trPr/>
        <w:tc>
          <w:tcPr>
            <w:tcW w:w="4788" w:type="dxa"/>
            <w:tcBorders/>
          </w:tcPr>
          <w:p>
            <w:pPr>
              <w:pStyle w:val="style179"/>
              <w:ind w:left="0"/>
              <w:rPr>
                <w:sz w:val="32"/>
                <w:szCs w:val="32"/>
              </w:rPr>
            </w:pPr>
            <w:r>
              <w:rPr>
                <w:sz w:val="32"/>
                <w:szCs w:val="32"/>
              </w:rPr>
              <w:t>Defect liability period</w:t>
            </w:r>
          </w:p>
        </w:tc>
        <w:tc>
          <w:tcPr>
            <w:tcW w:w="4788" w:type="dxa"/>
            <w:tcBorders/>
          </w:tcPr>
          <w:p>
            <w:pPr>
              <w:pStyle w:val="style179"/>
              <w:ind w:left="0"/>
              <w:rPr>
                <w:sz w:val="32"/>
                <w:szCs w:val="32"/>
              </w:rPr>
            </w:pPr>
            <w:r>
              <w:rPr>
                <w:sz w:val="32"/>
                <w:szCs w:val="32"/>
              </w:rPr>
              <w:t>22 million naira</w:t>
            </w:r>
          </w:p>
        </w:tc>
      </w:tr>
    </w:tbl>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p>
    <w:p>
      <w:pPr>
        <w:pStyle w:val="style179"/>
        <w:ind w:left="1080"/>
        <w:rPr>
          <w:sz w:val="32"/>
          <w:szCs w:val="32"/>
        </w:rPr>
      </w:pPr>
      <w:r>
        <w:rPr>
          <w:sz w:val="32"/>
          <w:szCs w:val="32"/>
        </w:rPr>
        <w:t>7. BEME is a reported in a systematic, transparent and scholarly manner with the aim of being user friendly, enabling the practitioner to judge and employ evidence according to their individual criteria and context.</w:t>
      </w:r>
    </w:p>
    <w:p>
      <w:pPr>
        <w:pStyle w:val="style179"/>
        <w:ind w:left="1080"/>
        <w:rPr>
          <w:sz w:val="32"/>
          <w:szCs w:val="32"/>
        </w:rPr>
      </w:pPr>
    </w:p>
    <w:p>
      <w:pPr>
        <w:pStyle w:val="style179"/>
        <w:ind w:left="1080"/>
        <w:rPr>
          <w:sz w:val="32"/>
          <w:szCs w:val="32"/>
        </w:rPr>
      </w:pPr>
      <w:r>
        <w:rPr>
          <w:sz w:val="32"/>
          <w:szCs w:val="32"/>
        </w:rPr>
        <w:t>Defect liability period is a period of time following practical completion during which a contractor remains reliable under the building contract for dealing with any defects which become apparent.</w:t>
      </w:r>
    </w:p>
    <w:p>
      <w:pPr>
        <w:pStyle w:val="style179"/>
        <w:ind w:left="1080"/>
        <w:rPr>
          <w:sz w:val="32"/>
          <w:szCs w:val="32"/>
        </w:rPr>
      </w:pPr>
    </w:p>
    <w:p>
      <w:pPr>
        <w:pStyle w:val="style179"/>
        <w:ind w:left="1080"/>
        <w:rPr>
          <w:sz w:val="32"/>
          <w:szCs w:val="32"/>
        </w:rPr>
      </w:pPr>
      <w:r>
        <w:rPr>
          <w:sz w:val="32"/>
          <w:szCs w:val="32"/>
        </w:rPr>
        <w:t>Lead consultant is the consultant that directs the work of the consultant team and is the main point of contract for communication between client and the consultant team</w:t>
      </w:r>
    </w:p>
    <w:p>
      <w:pPr>
        <w:pStyle w:val="style179"/>
        <w:ind w:left="1080"/>
        <w:rPr>
          <w:sz w:val="32"/>
          <w:szCs w:val="32"/>
        </w:rPr>
      </w:pPr>
    </w:p>
    <w:p>
      <w:pPr>
        <w:pStyle w:val="style179"/>
        <w:ind w:left="1080"/>
        <w:rPr>
          <w:sz w:val="32"/>
          <w:szCs w:val="32"/>
        </w:rPr>
      </w:pPr>
      <w:r>
        <w:rPr>
          <w:sz w:val="32"/>
          <w:szCs w:val="32"/>
        </w:rPr>
        <w:t>Project life cycle is the sequence of phases that a project goes through from its initiation to its closure</w:t>
      </w:r>
    </w:p>
    <w:p>
      <w:pPr>
        <w:pStyle w:val="style179"/>
        <w:ind w:left="1080"/>
        <w:rPr>
          <w:sz w:val="32"/>
          <w:szCs w:val="32"/>
        </w:rPr>
      </w:pPr>
    </w:p>
    <w:p>
      <w:pPr>
        <w:pStyle w:val="style179"/>
        <w:ind w:left="1080"/>
        <w:rPr>
          <w:sz w:val="32"/>
          <w:szCs w:val="32"/>
        </w:rPr>
      </w:pPr>
      <w:r>
        <w:rPr>
          <w:sz w:val="32"/>
          <w:szCs w:val="32"/>
        </w:rPr>
        <w:t xml:space="preserve">Environmental impact assessment is the assessment of the environmental consequences of a plan, policy, program, or actual projects prior to the decision to move forward with the proposed action.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0F4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CECD8D8"/>
    <w:lvl w:ilvl="0" w:tplc="0A4A1CA6">
      <w:start w:val="1"/>
      <w:numFmt w:val="decimal"/>
      <w:lvlText w:val="%1."/>
      <w:lvlJc w:val="left"/>
      <w:pPr>
        <w:ind w:left="720" w:hanging="360"/>
      </w:pPr>
      <w:rPr>
        <w:rFonts w:hint="default"/>
        <w:b w:val="fals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13E47D6"/>
    <w:lvl w:ilvl="0" w:tplc="BA32B74C">
      <w:start w:val="3"/>
      <w:numFmt w:val="bullet"/>
      <w:lvlText w:val="-"/>
      <w:lvlJc w:val="left"/>
      <w:pPr>
        <w:ind w:left="1080" w:hanging="360"/>
      </w:pPr>
      <w:rPr>
        <w:rFonts w:ascii="Calibri" w:cs="宋体" w:eastAsia="Calibri" w:hAnsi="Calibri"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388</Words>
  <Pages>4</Pages>
  <Characters>1975</Characters>
  <Application>WPS Office</Application>
  <DocSecurity>0</DocSecurity>
  <Paragraphs>81</Paragraphs>
  <ScaleCrop>false</ScaleCrop>
  <Company>Hewlett-Packard</Company>
  <LinksUpToDate>false</LinksUpToDate>
  <CharactersWithSpaces>2362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2020-04-16T18:39:00Z</dcterms:created>
  <dc:creator>grace onoja</dc:creator>
  <lastModifiedBy>SM-A205F</lastModifiedBy>
  <dcterms:modified xsi:type="dcterms:W3CDTF">2020-04-16T18:39:01Z</dcterms:modified>
  <revision>7</revision>
</coreProperties>
</file>

<file path=docProps/custom.xml><?xml version="1.0" encoding="utf-8"?>
<Properties xmlns="http://schemas.openxmlformats.org/officeDocument/2006/custom-properties" xmlns:vt="http://schemas.openxmlformats.org/officeDocument/2006/docPropsVTypes"/>
</file>